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2D" w:rsidRDefault="002D7A2D" w:rsidP="002D7A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A2D" w:rsidRDefault="002D7A2D" w:rsidP="002D7A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710.10  Requests for Special Handling</w:t>
      </w:r>
      <w:r>
        <w:t xml:space="preserve"> </w:t>
      </w:r>
    </w:p>
    <w:p w:rsidR="002D7A2D" w:rsidRDefault="002D7A2D" w:rsidP="002D7A2D">
      <w:pPr>
        <w:widowControl w:val="0"/>
        <w:autoSpaceDE w:val="0"/>
        <w:autoSpaceDN w:val="0"/>
        <w:adjustRightInd w:val="0"/>
      </w:pPr>
    </w:p>
    <w:p w:rsidR="002D7A2D" w:rsidRDefault="002D7A2D" w:rsidP="002D7A2D">
      <w:pPr>
        <w:widowControl w:val="0"/>
        <w:autoSpaceDE w:val="0"/>
        <w:autoSpaceDN w:val="0"/>
        <w:adjustRightInd w:val="0"/>
      </w:pPr>
      <w:r>
        <w:t xml:space="preserve">Each payee desiring electronic disbursement of State funds must request special handling of State warrants by the State Treasurer. </w:t>
      </w:r>
    </w:p>
    <w:p w:rsidR="00C849C1" w:rsidRDefault="00C849C1" w:rsidP="002D7A2D">
      <w:pPr>
        <w:widowControl w:val="0"/>
        <w:autoSpaceDE w:val="0"/>
        <w:autoSpaceDN w:val="0"/>
        <w:adjustRightInd w:val="0"/>
      </w:pPr>
    </w:p>
    <w:p w:rsidR="002D7A2D" w:rsidRDefault="002D7A2D" w:rsidP="00790D5E">
      <w:pPr>
        <w:widowControl w:val="0"/>
        <w:autoSpaceDE w:val="0"/>
        <w:autoSpaceDN w:val="0"/>
        <w:adjustRightInd w:val="0"/>
      </w:pPr>
      <w:r>
        <w:t xml:space="preserve">Such requests must be presented in writing, and indicate the identity of the person authorized to receive State funds on behalf of the receiving entity. </w:t>
      </w:r>
    </w:p>
    <w:sectPr w:rsidR="002D7A2D" w:rsidSect="002D7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A2D"/>
    <w:rsid w:val="00247933"/>
    <w:rsid w:val="002D7A2D"/>
    <w:rsid w:val="005C3366"/>
    <w:rsid w:val="00790D5E"/>
    <w:rsid w:val="00801984"/>
    <w:rsid w:val="00826B50"/>
    <w:rsid w:val="00C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