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CE5" w:rsidRDefault="00C30CE5" w:rsidP="00C30CE5"/>
    <w:p w:rsidR="00375659" w:rsidRPr="00C30CE5" w:rsidRDefault="00375659" w:rsidP="00C30CE5">
      <w:pPr>
        <w:rPr>
          <w:b/>
        </w:rPr>
      </w:pPr>
      <w:r w:rsidRPr="00C30CE5">
        <w:rPr>
          <w:b/>
        </w:rPr>
        <w:t xml:space="preserve">Section 295.800 </w:t>
      </w:r>
      <w:r w:rsidR="00C30CE5">
        <w:rPr>
          <w:b/>
        </w:rPr>
        <w:t xml:space="preserve"> </w:t>
      </w:r>
      <w:r w:rsidRPr="00C30CE5">
        <w:rPr>
          <w:b/>
        </w:rPr>
        <w:t>Record Retention</w:t>
      </w:r>
    </w:p>
    <w:p w:rsidR="00375659" w:rsidRPr="00C30CE5" w:rsidRDefault="00375659" w:rsidP="00C30CE5"/>
    <w:p w:rsidR="000174EB" w:rsidRPr="00C30CE5" w:rsidRDefault="00375659" w:rsidP="00C30CE5">
      <w:r w:rsidRPr="00C30CE5">
        <w:t>The Comptroller shall retain a copy of the statement of notifica</w:t>
      </w:r>
      <w:r w:rsidR="00BE7D8C">
        <w:t>tion prescribed in Section 295.6</w:t>
      </w:r>
      <w:bookmarkStart w:id="0" w:name="_GoBack"/>
      <w:bookmarkEnd w:id="0"/>
      <w:r w:rsidRPr="00C30CE5">
        <w:t>00 in accordance with the State Records Act [5 ILCS 160] and the State Comptroller Act [15 ILCS 405].</w:t>
      </w:r>
    </w:p>
    <w:sectPr w:rsidR="000174EB" w:rsidRPr="00C30C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59" w:rsidRDefault="00375659">
      <w:r>
        <w:separator/>
      </w:r>
    </w:p>
  </w:endnote>
  <w:endnote w:type="continuationSeparator" w:id="0">
    <w:p w:rsidR="00375659" w:rsidRDefault="0037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59" w:rsidRDefault="00375659">
      <w:r>
        <w:separator/>
      </w:r>
    </w:p>
  </w:footnote>
  <w:footnote w:type="continuationSeparator" w:id="0">
    <w:p w:rsidR="00375659" w:rsidRDefault="0037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65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D8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CE5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01F05-1AD3-487A-A243-B0931766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2017-06-15T14:56:00Z</dcterms:created>
  <dcterms:modified xsi:type="dcterms:W3CDTF">2017-06-22T20:07:00Z</dcterms:modified>
</cp:coreProperties>
</file>