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8C" w:rsidRDefault="00196F8C" w:rsidP="00196F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F8C" w:rsidRDefault="00196F8C" w:rsidP="00196F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290.1201  Application</w:t>
      </w:r>
      <w:r>
        <w:t xml:space="preserve"> </w:t>
      </w:r>
    </w:p>
    <w:p w:rsidR="00196F8C" w:rsidRDefault="00196F8C" w:rsidP="00196F8C">
      <w:pPr>
        <w:widowControl w:val="0"/>
        <w:autoSpaceDE w:val="0"/>
        <w:autoSpaceDN w:val="0"/>
        <w:adjustRightInd w:val="0"/>
      </w:pPr>
    </w:p>
    <w:p w:rsidR="00196F8C" w:rsidRDefault="00196F8C" w:rsidP="00196F8C">
      <w:pPr>
        <w:widowControl w:val="0"/>
        <w:autoSpaceDE w:val="0"/>
        <w:autoSpaceDN w:val="0"/>
        <w:adjustRightInd w:val="0"/>
      </w:pPr>
      <w:r>
        <w:t>This Article does not presently apply to agreements paid from the "award and grant" (Comptroller's Uniform Statewide Accounting System</w:t>
      </w:r>
      <w:r w:rsidR="00C21ED6">
        <w:t xml:space="preserve"> – </w:t>
      </w:r>
      <w:r>
        <w:t>CUSAS</w:t>
      </w:r>
      <w:r w:rsidR="00C21ED6">
        <w:t xml:space="preserve"> – </w:t>
      </w:r>
      <w:r>
        <w:t xml:space="preserve">Common Object 4400) line items.  It is, however, recommended that agencies follow these guidelines in drafting grant agreements. </w:t>
      </w:r>
    </w:p>
    <w:sectPr w:rsidR="00196F8C" w:rsidSect="00196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F8C"/>
    <w:rsid w:val="00196F8C"/>
    <w:rsid w:val="005C3366"/>
    <w:rsid w:val="00C15DDC"/>
    <w:rsid w:val="00C21ED6"/>
    <w:rsid w:val="00C66E49"/>
    <w:rsid w:val="00D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2012-06-21T22:41:00Z</dcterms:modified>
</cp:coreProperties>
</file>