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35" w:rsidRDefault="00B23535" w:rsidP="00B23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535" w:rsidRDefault="00B23535" w:rsidP="00B23535">
      <w:pPr>
        <w:widowControl w:val="0"/>
        <w:autoSpaceDE w:val="0"/>
        <w:autoSpaceDN w:val="0"/>
        <w:adjustRightInd w:val="0"/>
      </w:pPr>
      <w:r>
        <w:t xml:space="preserve">SOURCE:  Rules Prescribed by the Comptroller for the Orderly Transition of Lawful Responsibilities from the Auditor of Public Accounts, effective January 10, 1973; codified at 5 Ill. Reg. 10600; amended at 6 Ill. Reg. 5941, effective April 30, 1982; amended at 12 Ill. Reg. 22401, effective December 20, 1988. </w:t>
      </w:r>
      <w:r>
        <w:tab/>
      </w:r>
    </w:p>
    <w:sectPr w:rsidR="00B23535" w:rsidSect="00B23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535"/>
    <w:rsid w:val="005C3366"/>
    <w:rsid w:val="006B4C4D"/>
    <w:rsid w:val="006D1583"/>
    <w:rsid w:val="00B23535"/>
    <w:rsid w:val="00C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Prescribed by the Comptroller for the Orderly Transition of Lawful Responsibilities from the Auditor of Public 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Prescribed by the Comptroller for the Orderly Transition of Lawful Responsibilities from the Auditor of Public 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