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AB75C" w14:textId="77777777" w:rsidR="00CB2133" w:rsidRPr="00630839" w:rsidRDefault="00CB2133" w:rsidP="00CB2133"/>
    <w:p w14:paraId="4838F460" w14:textId="77777777" w:rsidR="00CB2133" w:rsidRDefault="00CB2133" w:rsidP="00CB2133">
      <w:pPr>
        <w:rPr>
          <w:b/>
        </w:rPr>
      </w:pPr>
      <w:r w:rsidRPr="000263C4">
        <w:rPr>
          <w:b/>
        </w:rPr>
        <w:t xml:space="preserve">Section 600.100  </w:t>
      </w:r>
      <w:r w:rsidRPr="006524DA">
        <w:rPr>
          <w:b/>
        </w:rPr>
        <w:t>Definitions</w:t>
      </w:r>
    </w:p>
    <w:p w14:paraId="4C03EA4E" w14:textId="77777777" w:rsidR="00CB2133" w:rsidRDefault="00CB2133" w:rsidP="00CB2133"/>
    <w:p w14:paraId="4D408D99" w14:textId="77777777" w:rsidR="00CB2133" w:rsidRDefault="00CB2133" w:rsidP="00CB2133">
      <w:r>
        <w:t xml:space="preserve">Definitions of terms in the International Energy Conservation Code, incorporated by reference in Subpart C of this Part, apply, as do the following definitions: </w:t>
      </w:r>
    </w:p>
    <w:p w14:paraId="40850990" w14:textId="04D742A7" w:rsidR="00CB2133" w:rsidRDefault="00CB2133" w:rsidP="00CB2133"/>
    <w:p w14:paraId="5124B3EB" w14:textId="2B186B5A" w:rsidR="00812FB5" w:rsidRPr="00812FB5" w:rsidRDefault="00812FB5" w:rsidP="00812FB5">
      <w:pPr>
        <w:ind w:left="1440"/>
      </w:pPr>
      <w:r w:rsidRPr="00812FB5">
        <w:t>"2024 I</w:t>
      </w:r>
      <w:r w:rsidR="00DE0427">
        <w:t>nternational</w:t>
      </w:r>
      <w:r w:rsidRPr="00812FB5">
        <w:t xml:space="preserve"> E</w:t>
      </w:r>
      <w:r w:rsidR="00DE0427" w:rsidRPr="00812FB5">
        <w:t>nergy</w:t>
      </w:r>
      <w:r w:rsidRPr="00812FB5">
        <w:t xml:space="preserve"> C</w:t>
      </w:r>
      <w:r w:rsidR="00DE0427" w:rsidRPr="00812FB5">
        <w:t>onservation</w:t>
      </w:r>
      <w:r w:rsidRPr="00812FB5">
        <w:t xml:space="preserve"> C</w:t>
      </w:r>
      <w:r w:rsidR="00DE0427" w:rsidRPr="00812FB5">
        <w:t>ode</w:t>
      </w:r>
      <w:r w:rsidRPr="00812FB5">
        <w:t xml:space="preserve"> F</w:t>
      </w:r>
      <w:r w:rsidR="00DE0427" w:rsidRPr="00812FB5">
        <w:t>inal</w:t>
      </w:r>
      <w:r w:rsidRPr="00812FB5">
        <w:t xml:space="preserve"> D</w:t>
      </w:r>
      <w:r w:rsidR="00DE0427" w:rsidRPr="00812FB5">
        <w:t>raft</w:t>
      </w:r>
      <w:r w:rsidRPr="00812FB5">
        <w:t>" means the Public Comments Draft 2 version of the 2024 IECC with approved proposals from the Committee Action Report.</w:t>
      </w:r>
    </w:p>
    <w:p w14:paraId="6D97FE68" w14:textId="77777777" w:rsidR="00812FB5" w:rsidRDefault="00812FB5" w:rsidP="00CB2133"/>
    <w:p w14:paraId="4ACCB121" w14:textId="77777777" w:rsidR="00CB2133" w:rsidRPr="006524DA" w:rsidRDefault="00CB2133" w:rsidP="00CB2133">
      <w:pPr>
        <w:ind w:left="1440"/>
      </w:pPr>
      <w:r w:rsidRPr="006524DA">
        <w:t>"Act" means the Capital Development Board Act [20 ILCS 3105].</w:t>
      </w:r>
    </w:p>
    <w:p w14:paraId="29B41455" w14:textId="77777777" w:rsidR="00CB2133" w:rsidRPr="006524DA" w:rsidRDefault="00CB2133" w:rsidP="00604333"/>
    <w:p w14:paraId="7C7CD672" w14:textId="77777777" w:rsidR="00CB2133" w:rsidRPr="006524DA" w:rsidRDefault="00CB2133" w:rsidP="00CB2133">
      <w:pPr>
        <w:ind w:left="1440"/>
      </w:pPr>
      <w:r>
        <w:t>"</w:t>
      </w:r>
      <w:r w:rsidRPr="006524DA">
        <w:t>Authority Having Jurisdiction</w:t>
      </w:r>
      <w:r>
        <w:t>"</w:t>
      </w:r>
      <w:r w:rsidRPr="006524DA">
        <w:t xml:space="preserve"> </w:t>
      </w:r>
      <w:r>
        <w:t>or "</w:t>
      </w:r>
      <w:r w:rsidRPr="006524DA">
        <w:t>AHJ</w:t>
      </w:r>
      <w:r>
        <w:t>"</w:t>
      </w:r>
      <w:r w:rsidRPr="006524DA">
        <w:t xml:space="preserve"> means the organization, office or individual responsible for approving equipment, materials, an installation or procedure.</w:t>
      </w:r>
    </w:p>
    <w:p w14:paraId="5C3BBDE3" w14:textId="77777777" w:rsidR="00CB2133" w:rsidRPr="006524DA" w:rsidRDefault="00CB2133" w:rsidP="00604333"/>
    <w:p w14:paraId="7AF08BA5" w14:textId="77777777" w:rsidR="00CB2133" w:rsidRPr="006524DA" w:rsidRDefault="00CB2133" w:rsidP="00CB2133">
      <w:pPr>
        <w:ind w:left="1440"/>
      </w:pPr>
      <w:r w:rsidRPr="006524DA">
        <w:t>"CDB"</w:t>
      </w:r>
      <w:r w:rsidR="001B3218">
        <w:t xml:space="preserve"> or "Board"</w:t>
      </w:r>
      <w:r w:rsidRPr="006524DA">
        <w:t xml:space="preserve"> means the Illinois Capital Development Board.</w:t>
      </w:r>
    </w:p>
    <w:p w14:paraId="792A4581" w14:textId="77777777" w:rsidR="00CB2133" w:rsidRPr="006524DA" w:rsidRDefault="00CB2133" w:rsidP="00604333"/>
    <w:p w14:paraId="65B95CC6" w14:textId="1A17F889" w:rsidR="00CB2133" w:rsidRPr="006524DA" w:rsidRDefault="00CB2133" w:rsidP="00CB2133">
      <w:pPr>
        <w:ind w:left="1440"/>
      </w:pPr>
      <w:r w:rsidRPr="00DC4D73">
        <w:rPr>
          <w:i/>
        </w:rPr>
        <w:t>"Commercial Facility" means any building except a building that is a residential building</w:t>
      </w:r>
      <w:r w:rsidR="00FA430D" w:rsidRPr="00FA430D">
        <w:rPr>
          <w:i/>
        </w:rPr>
        <w:t xml:space="preserve"> </w:t>
      </w:r>
      <w:r w:rsidR="00FA430D" w:rsidRPr="000A09AE">
        <w:rPr>
          <w:i/>
        </w:rPr>
        <w:t xml:space="preserve">as defined in </w:t>
      </w:r>
      <w:r w:rsidR="00FA430D" w:rsidRPr="000A09AE">
        <w:rPr>
          <w:iCs/>
        </w:rPr>
        <w:t>the EEB Act</w:t>
      </w:r>
      <w:r w:rsidRPr="006524DA">
        <w:t xml:space="preserve">. </w:t>
      </w:r>
      <w:r w:rsidR="005E125F">
        <w:t xml:space="preserve"> </w:t>
      </w:r>
      <w:r>
        <w:t>[20 ILCS 3125/10]</w:t>
      </w:r>
      <w:r w:rsidRPr="006524DA">
        <w:t xml:space="preserve"> </w:t>
      </w:r>
    </w:p>
    <w:p w14:paraId="1328FBF6" w14:textId="77777777" w:rsidR="00CB2133" w:rsidRPr="006524DA" w:rsidRDefault="00CB2133" w:rsidP="00604333"/>
    <w:p w14:paraId="2656D2A7" w14:textId="1D94D563" w:rsidR="00CB2133" w:rsidRDefault="00CB2133" w:rsidP="00CB2133">
      <w:pPr>
        <w:ind w:left="1440"/>
      </w:pPr>
      <w:r w:rsidRPr="006524DA">
        <w:t>"Council" means th</w:t>
      </w:r>
      <w:r>
        <w:t xml:space="preserve">e Illinois Energy Conservation </w:t>
      </w:r>
      <w:r w:rsidRPr="006524DA">
        <w:t xml:space="preserve">Advisory Council </w:t>
      </w:r>
      <w:r>
        <w:t>appointed under</w:t>
      </w:r>
      <w:r w:rsidRPr="006524DA">
        <w:t xml:space="preserve"> </w:t>
      </w:r>
      <w:r w:rsidR="00B64323">
        <w:t>Section 600.120</w:t>
      </w:r>
      <w:r w:rsidR="001B3218">
        <w:t xml:space="preserve"> and whose purpose it is to recommend modifications to the </w:t>
      </w:r>
      <w:r w:rsidR="00C82F2A" w:rsidRPr="00C82F2A">
        <w:rPr>
          <w:iCs/>
        </w:rPr>
        <w:t>Illinois Energy Conservation Code</w:t>
      </w:r>
      <w:r w:rsidRPr="006524DA">
        <w:t>.</w:t>
      </w:r>
    </w:p>
    <w:p w14:paraId="6BDC12AD" w14:textId="77777777" w:rsidR="00CB2133" w:rsidRDefault="00CB2133" w:rsidP="00604333"/>
    <w:p w14:paraId="74C57805" w14:textId="77777777" w:rsidR="00CB2133" w:rsidRPr="006524DA" w:rsidRDefault="00CB2133" w:rsidP="00CB2133">
      <w:pPr>
        <w:ind w:left="1440"/>
      </w:pPr>
      <w:r>
        <w:t>"</w:t>
      </w:r>
      <w:r w:rsidR="0074178E">
        <w:t>EEB</w:t>
      </w:r>
      <w:r>
        <w:t xml:space="preserve"> Act" means the Energy Efficient Building Act [20 ILCS 3125].</w:t>
      </w:r>
    </w:p>
    <w:p w14:paraId="569A5DB6" w14:textId="77777777" w:rsidR="00CB2133" w:rsidRDefault="00CB2133" w:rsidP="00604333"/>
    <w:p w14:paraId="7B09FFBB" w14:textId="77777777" w:rsidR="008B1C61" w:rsidRDefault="008B1C61" w:rsidP="00CB2133">
      <w:pPr>
        <w:ind w:left="1440"/>
      </w:pPr>
      <w:r>
        <w:t>"IECC" means the International Energy Conservation Code.</w:t>
      </w:r>
    </w:p>
    <w:p w14:paraId="49A4A95C" w14:textId="77777777" w:rsidR="008B1C61" w:rsidRPr="006524DA" w:rsidRDefault="008B1C61" w:rsidP="00604333"/>
    <w:p w14:paraId="4D021526" w14:textId="548AF8EC" w:rsidR="00CB2133" w:rsidRDefault="00CB2133" w:rsidP="00CB2133">
      <w:pPr>
        <w:ind w:left="1440"/>
      </w:pPr>
      <w:r>
        <w:t>"</w:t>
      </w:r>
      <w:r w:rsidRPr="006524DA">
        <w:t>Il</w:t>
      </w:r>
      <w:r>
        <w:t>linois Energy Conservation Code"</w:t>
      </w:r>
      <w:r w:rsidRPr="006524DA">
        <w:t xml:space="preserve"> means</w:t>
      </w:r>
      <w:r>
        <w:t>:</w:t>
      </w:r>
    </w:p>
    <w:p w14:paraId="6B8DC2F0" w14:textId="77777777" w:rsidR="00CB2133" w:rsidRDefault="00CB2133" w:rsidP="00604333"/>
    <w:p w14:paraId="387C615B" w14:textId="2C40B802" w:rsidR="00CB2133" w:rsidRDefault="00CB2133" w:rsidP="00CB2133">
      <w:pPr>
        <w:ind w:left="2166" w:hanging="6"/>
      </w:pPr>
      <w:r>
        <w:t>With respect to the privately funded commercial facilities covered by Subpart C</w:t>
      </w:r>
      <w:r w:rsidR="00951860">
        <w:t xml:space="preserve"> Section 600.300</w:t>
      </w:r>
      <w:r>
        <w:t>:</w:t>
      </w:r>
    </w:p>
    <w:p w14:paraId="16AFB6C1" w14:textId="77777777" w:rsidR="00CB2133" w:rsidRDefault="00CB2133" w:rsidP="00604333"/>
    <w:p w14:paraId="6E02C3A8" w14:textId="3C1BCF6C" w:rsidR="00CB2133" w:rsidRPr="006524DA" w:rsidRDefault="00CB2133" w:rsidP="00CB2133">
      <w:pPr>
        <w:ind w:left="2907" w:hanging="6"/>
      </w:pPr>
      <w:r>
        <w:t xml:space="preserve">This Part, all additional requirements incorporated within Subpart C (including </w:t>
      </w:r>
      <w:r w:rsidRPr="006524DA">
        <w:t xml:space="preserve">the </w:t>
      </w:r>
      <w:r w:rsidR="00FA430D" w:rsidRPr="000A09AE">
        <w:t>2021</w:t>
      </w:r>
      <w:r w:rsidRPr="006524DA">
        <w:t xml:space="preserve"> International Energy Conservation Code</w:t>
      </w:r>
      <w:r w:rsidR="00D6312B">
        <w:t xml:space="preserve"> </w:t>
      </w:r>
      <w:r w:rsidR="00DA31F0">
        <w:t xml:space="preserve">that </w:t>
      </w:r>
      <w:r w:rsidR="00D6312B">
        <w:t>encompasses ASHRAE 90.1</w:t>
      </w:r>
      <w:r>
        <w:t xml:space="preserve">, </w:t>
      </w:r>
      <w:r w:rsidR="00195743">
        <w:t xml:space="preserve">including all published errata but </w:t>
      </w:r>
      <w:r w:rsidR="00A81589">
        <w:t>excluding published supplements</w:t>
      </w:r>
      <w:r w:rsidR="00CD39E8">
        <w:t>,</w:t>
      </w:r>
      <w:r w:rsidR="00A81589">
        <w:t xml:space="preserve"> </w:t>
      </w:r>
      <w:r>
        <w:t>and any statutorily authorized adaptations to the incorporated standards adopted by CDB</w:t>
      </w:r>
      <w:r w:rsidR="006E390F">
        <w:t>; and</w:t>
      </w:r>
    </w:p>
    <w:p w14:paraId="7B18F10C" w14:textId="77777777" w:rsidR="00CB2133" w:rsidRDefault="00CB2133" w:rsidP="00604333"/>
    <w:p w14:paraId="06E464A8" w14:textId="6B83E86E" w:rsidR="0074178E" w:rsidRDefault="0074178E" w:rsidP="0074178E">
      <w:pPr>
        <w:ind w:left="2166" w:hanging="6"/>
      </w:pPr>
      <w:r>
        <w:t>With respect to the residential buildings covered by Subpart D</w:t>
      </w:r>
      <w:r w:rsidR="00951860">
        <w:t xml:space="preserve"> Section 600.400</w:t>
      </w:r>
      <w:r>
        <w:t>:</w:t>
      </w:r>
    </w:p>
    <w:p w14:paraId="02F627EC" w14:textId="77777777" w:rsidR="0074178E" w:rsidRDefault="0074178E" w:rsidP="00604333"/>
    <w:p w14:paraId="386646A0" w14:textId="70FFDBB1" w:rsidR="0074178E" w:rsidRPr="006524DA" w:rsidRDefault="0074178E" w:rsidP="0074178E">
      <w:pPr>
        <w:ind w:left="2907" w:hanging="6"/>
      </w:pPr>
      <w:r>
        <w:t xml:space="preserve">This Part, all additional requirements incorporated within Subpart D (including </w:t>
      </w:r>
      <w:r w:rsidRPr="006524DA">
        <w:t xml:space="preserve">the </w:t>
      </w:r>
      <w:r w:rsidR="00FA430D" w:rsidRPr="000A09AE">
        <w:t>2021</w:t>
      </w:r>
      <w:r w:rsidRPr="006524DA">
        <w:t xml:space="preserve"> International Energy Conservation Code</w:t>
      </w:r>
      <w:r>
        <w:t xml:space="preserve">, </w:t>
      </w:r>
      <w:r w:rsidR="00195743">
        <w:lastRenderedPageBreak/>
        <w:t xml:space="preserve">including all published errata but </w:t>
      </w:r>
      <w:r>
        <w:t>excluding published supplements) and any statutorily authorized adaptations to the incorporated standards adopted by CDB.</w:t>
      </w:r>
    </w:p>
    <w:p w14:paraId="14CF80A9" w14:textId="77777777" w:rsidR="00951860" w:rsidRDefault="00951860" w:rsidP="00CE3C3A"/>
    <w:p w14:paraId="77879AA6" w14:textId="7F88FA30" w:rsidR="00951860" w:rsidRDefault="00951860" w:rsidP="00951860">
      <w:pPr>
        <w:ind w:left="1446" w:hanging="6"/>
      </w:pPr>
      <w:r>
        <w:t>"Illinois Commercial Stretch Energy Code" or "Commercial Stretch Code" means:</w:t>
      </w:r>
    </w:p>
    <w:p w14:paraId="2844C88B" w14:textId="77777777" w:rsidR="00951860" w:rsidRDefault="00951860" w:rsidP="00CE3C3A"/>
    <w:p w14:paraId="71CE483F" w14:textId="77777777" w:rsidR="00951860" w:rsidRDefault="00951860" w:rsidP="00951860">
      <w:pPr>
        <w:ind w:left="2160"/>
      </w:pPr>
      <w:r>
        <w:t>With respect to the State facilities covered by Subpart B and privately funded commercial facilities covered by Subpart C Section 600.305:</w:t>
      </w:r>
    </w:p>
    <w:p w14:paraId="11B68B3B" w14:textId="77777777" w:rsidR="00951860" w:rsidRDefault="00951860" w:rsidP="00CE3C3A"/>
    <w:p w14:paraId="2308111B" w14:textId="23B95CC7" w:rsidR="00951860" w:rsidRDefault="00951860" w:rsidP="00951860">
      <w:pPr>
        <w:ind w:left="2880"/>
      </w:pPr>
      <w:r>
        <w:t xml:space="preserve">This Part, all additional requirements incorporated within Subparts B and C (including the 2024 International Energy Conservation Code </w:t>
      </w:r>
      <w:r w:rsidR="00812FB5">
        <w:t xml:space="preserve">Final Draft </w:t>
      </w:r>
      <w:r>
        <w:t>Commercial Provisions that encompasses ASHRAE 90.1, including all published errata but excluding published supplements) and any statutorily authorized adaptations to the incorporated standards adopted by CDB;</w:t>
      </w:r>
    </w:p>
    <w:p w14:paraId="0784F4E8" w14:textId="77777777" w:rsidR="00951860" w:rsidRDefault="00951860" w:rsidP="00CE3C3A"/>
    <w:p w14:paraId="12B40F52" w14:textId="44334453" w:rsidR="00951860" w:rsidRDefault="00951860" w:rsidP="00951860">
      <w:pPr>
        <w:ind w:left="1440"/>
      </w:pPr>
      <w:r>
        <w:t>"Illinois Residential Stretch Energy Code" or "Residential Stretch Code" means:</w:t>
      </w:r>
    </w:p>
    <w:p w14:paraId="20BC889E" w14:textId="77777777" w:rsidR="00951860" w:rsidRDefault="00951860" w:rsidP="00CE3C3A"/>
    <w:p w14:paraId="7BD1E857" w14:textId="77777777" w:rsidR="00951860" w:rsidRDefault="00951860" w:rsidP="00951860">
      <w:pPr>
        <w:ind w:left="2160"/>
      </w:pPr>
      <w:r>
        <w:t>With respect to the residential buildings covered by Subpart D Section 600.405:</w:t>
      </w:r>
    </w:p>
    <w:p w14:paraId="3ECB54BB" w14:textId="77777777" w:rsidR="00951860" w:rsidRDefault="00951860" w:rsidP="00CE3C3A"/>
    <w:p w14:paraId="197E5EFB" w14:textId="77777777" w:rsidR="00951860" w:rsidRPr="006524DA" w:rsidRDefault="00951860" w:rsidP="00951860">
      <w:pPr>
        <w:ind w:left="2880"/>
      </w:pPr>
      <w:r>
        <w:t>This Part, all additional requirements incorporated with Subpart D (including the 2021 International Energy Conservation Code Residential Provisions, including all published errata but excluding published supplements) and any statutorily authorized adaptations to the incorporated standards adopted by CDB.</w:t>
      </w:r>
    </w:p>
    <w:p w14:paraId="46B04351" w14:textId="77777777" w:rsidR="00CB2133" w:rsidRPr="006524DA" w:rsidRDefault="00CB2133" w:rsidP="00604333"/>
    <w:p w14:paraId="73134713" w14:textId="1928F9DD" w:rsidR="00CB2133" w:rsidRPr="00DC4D73" w:rsidRDefault="00CB2133" w:rsidP="00CB2133">
      <w:pPr>
        <w:ind w:left="1440"/>
        <w:rPr>
          <w:i/>
        </w:rPr>
      </w:pPr>
      <w:r w:rsidRPr="00DC4D73">
        <w:rPr>
          <w:i/>
        </w:rPr>
        <w:t>"Municipality" means any city, village</w:t>
      </w:r>
      <w:r w:rsidR="00812FB5">
        <w:rPr>
          <w:i/>
        </w:rPr>
        <w:t>,</w:t>
      </w:r>
      <w:r w:rsidRPr="00DC4D73">
        <w:rPr>
          <w:i/>
        </w:rPr>
        <w:t xml:space="preserve"> or incorporated town</w:t>
      </w:r>
      <w:r w:rsidRPr="00DC4D73">
        <w:t>.</w:t>
      </w:r>
      <w:r>
        <w:t xml:space="preserve"> </w:t>
      </w:r>
      <w:r w:rsidR="005E125F">
        <w:t xml:space="preserve"> </w:t>
      </w:r>
      <w:r>
        <w:t>[20 ILCS 3125/10]</w:t>
      </w:r>
    </w:p>
    <w:p w14:paraId="459A9D23" w14:textId="77777777" w:rsidR="0049254D" w:rsidRDefault="0049254D" w:rsidP="00604333">
      <w:pPr>
        <w:rPr>
          <w:i/>
        </w:rPr>
      </w:pPr>
    </w:p>
    <w:p w14:paraId="578B1DA8" w14:textId="77777777" w:rsidR="0074178E" w:rsidRDefault="0074178E" w:rsidP="003A56A1">
      <w:pPr>
        <w:ind w:left="1440"/>
        <w:rPr>
          <w:i/>
        </w:rPr>
      </w:pPr>
      <w:r>
        <w:rPr>
          <w:i/>
        </w:rPr>
        <w:t>"Residential Building" means</w:t>
      </w:r>
      <w:r w:rsidR="006E390F">
        <w:rPr>
          <w:i/>
        </w:rPr>
        <w:t xml:space="preserve"> </w:t>
      </w:r>
      <w:r>
        <w:rPr>
          <w:i/>
        </w:rPr>
        <w:t>a detached one-family or 2-family dwelling or</w:t>
      </w:r>
      <w:r w:rsidR="00A37B27">
        <w:rPr>
          <w:i/>
        </w:rPr>
        <w:t xml:space="preserve"> </w:t>
      </w:r>
      <w:r>
        <w:rPr>
          <w:i/>
        </w:rPr>
        <w:t xml:space="preserve">any building that is 3 stories or less in height above grade that contains multiple dwelling units, in which the occupants reside on a primarily permanent basis, such as a townhouse, a row house, an apartment house, a convent, a monastery, a rectory, a fraternity or sorority house, a dormitory, and a rooming house; provided, however, that when applied to a building located within the boundaries of a municipality having a population of 1,000,000 or more, the term "residential building" means a building containing one or more dwelling units, not exceeding 4 stories above grade, where occupants are primarily permanent.  </w:t>
      </w:r>
      <w:r w:rsidRPr="00494174">
        <w:t>[20 ILCS 3125/10]</w:t>
      </w:r>
    </w:p>
    <w:p w14:paraId="0EFD9CFC" w14:textId="77777777" w:rsidR="00CB2133" w:rsidRPr="006524DA" w:rsidRDefault="00CB2133" w:rsidP="00604333"/>
    <w:p w14:paraId="327C390D" w14:textId="77777777" w:rsidR="00CB2133" w:rsidRDefault="00CB2133" w:rsidP="00CB2133">
      <w:pPr>
        <w:ind w:left="1440"/>
      </w:pPr>
      <w:r>
        <w:t>"</w:t>
      </w:r>
      <w:r w:rsidRPr="006524DA">
        <w:t>State Funded Building</w:t>
      </w:r>
      <w:r>
        <w:t>"</w:t>
      </w:r>
      <w:r w:rsidRPr="006524DA">
        <w:t xml:space="preserve"> means and includes </w:t>
      </w:r>
      <w:r>
        <w:t xml:space="preserve">buildings under the jurisdiction of </w:t>
      </w:r>
      <w:r w:rsidRPr="006524DA">
        <w:t>each officer, department,</w:t>
      </w:r>
      <w:r>
        <w:t xml:space="preserve"> board, commission, institution and</w:t>
      </w:r>
      <w:r w:rsidRPr="006524DA">
        <w:t xml:space="preserve"> body politic and corporate of the State</w:t>
      </w:r>
      <w:r>
        <w:t>,</w:t>
      </w:r>
      <w:r w:rsidRPr="006524DA">
        <w:t xml:space="preserve"> including the Illinois Building Authority, and any other person expending or encumbering State or federal funds by virtue of an appropriation or other authorization by the General Assembly or federal </w:t>
      </w:r>
      <w:r w:rsidRPr="006524DA">
        <w:lastRenderedPageBreak/>
        <w:t>authorization or grant.</w:t>
      </w:r>
      <w:r>
        <w:t xml:space="preserve">  This includes</w:t>
      </w:r>
      <w:r>
        <w:rPr>
          <w:i/>
        </w:rPr>
        <w:t xml:space="preserve"> </w:t>
      </w:r>
      <w:r>
        <w:t xml:space="preserve">State funded </w:t>
      </w:r>
      <w:r>
        <w:rPr>
          <w:i/>
        </w:rPr>
        <w:t xml:space="preserve">housing, hospitals, penitentiaries, laboratories, educational facilities, administrative facilities, recreational facilities, environmental equipment and parking facilities </w:t>
      </w:r>
      <w:r>
        <w:t>[20 ILCS 3105/4.01].</w:t>
      </w:r>
    </w:p>
    <w:p w14:paraId="62A588D4" w14:textId="77777777" w:rsidR="00A81589" w:rsidRDefault="00A81589" w:rsidP="00604333"/>
    <w:p w14:paraId="037F1672" w14:textId="538805D6" w:rsidR="00EA5230" w:rsidRPr="00D55B37" w:rsidRDefault="00951860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8B736F">
        <w:t>14276</w:t>
      </w:r>
      <w:r w:rsidRPr="00524821">
        <w:t xml:space="preserve">, effective </w:t>
      </w:r>
      <w:r w:rsidR="008B736F">
        <w:t>January 1, 2025</w:t>
      </w:r>
      <w:r w:rsidRPr="00524821">
        <w:t>)</w:t>
      </w:r>
    </w:p>
    <w:sectPr w:rsidR="00EA5230" w:rsidRPr="00D55B37" w:rsidSect="0071587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E7E4A" w14:textId="77777777" w:rsidR="009E3070" w:rsidRDefault="009E3070">
      <w:r>
        <w:separator/>
      </w:r>
    </w:p>
  </w:endnote>
  <w:endnote w:type="continuationSeparator" w:id="0">
    <w:p w14:paraId="53B5D273" w14:textId="77777777" w:rsidR="009E3070" w:rsidRDefault="009E3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CB655" w14:textId="77777777" w:rsidR="009E3070" w:rsidRDefault="009E3070">
      <w:r>
        <w:separator/>
      </w:r>
    </w:p>
  </w:footnote>
  <w:footnote w:type="continuationSeparator" w:id="0">
    <w:p w14:paraId="3D85A00E" w14:textId="77777777" w:rsidR="009E3070" w:rsidRDefault="009E30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B2133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5816"/>
    <w:rsid w:val="00101043"/>
    <w:rsid w:val="00110A0B"/>
    <w:rsid w:val="00114190"/>
    <w:rsid w:val="00115760"/>
    <w:rsid w:val="0012221A"/>
    <w:rsid w:val="001328A0"/>
    <w:rsid w:val="00137B67"/>
    <w:rsid w:val="0014104E"/>
    <w:rsid w:val="00145823"/>
    <w:rsid w:val="00145C78"/>
    <w:rsid w:val="00146F30"/>
    <w:rsid w:val="0015097E"/>
    <w:rsid w:val="00153DEA"/>
    <w:rsid w:val="00154F65"/>
    <w:rsid w:val="00155217"/>
    <w:rsid w:val="00155905"/>
    <w:rsid w:val="00163B28"/>
    <w:rsid w:val="00163EEE"/>
    <w:rsid w:val="00164756"/>
    <w:rsid w:val="00165CF9"/>
    <w:rsid w:val="001675A0"/>
    <w:rsid w:val="00177B13"/>
    <w:rsid w:val="001830D0"/>
    <w:rsid w:val="00193ABB"/>
    <w:rsid w:val="0019502A"/>
    <w:rsid w:val="00195743"/>
    <w:rsid w:val="001A6EDB"/>
    <w:rsid w:val="001B3218"/>
    <w:rsid w:val="001B5F27"/>
    <w:rsid w:val="001C1D61"/>
    <w:rsid w:val="001C675B"/>
    <w:rsid w:val="001C71C2"/>
    <w:rsid w:val="001C76FF"/>
    <w:rsid w:val="001C7D95"/>
    <w:rsid w:val="001D0EBA"/>
    <w:rsid w:val="001D0EFC"/>
    <w:rsid w:val="001E3059"/>
    <w:rsid w:val="001E3074"/>
    <w:rsid w:val="001F572B"/>
    <w:rsid w:val="002015E7"/>
    <w:rsid w:val="002047E2"/>
    <w:rsid w:val="00207D79"/>
    <w:rsid w:val="002133B1"/>
    <w:rsid w:val="00213BC5"/>
    <w:rsid w:val="002201CD"/>
    <w:rsid w:val="0022052A"/>
    <w:rsid w:val="002209C0"/>
    <w:rsid w:val="00220B91"/>
    <w:rsid w:val="0022300C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183A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42DA1"/>
    <w:rsid w:val="00347283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97731"/>
    <w:rsid w:val="003A4E0A"/>
    <w:rsid w:val="003A5315"/>
    <w:rsid w:val="003A56A1"/>
    <w:rsid w:val="003B419A"/>
    <w:rsid w:val="003B4B8B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555A2"/>
    <w:rsid w:val="004568FA"/>
    <w:rsid w:val="00461E78"/>
    <w:rsid w:val="00464256"/>
    <w:rsid w:val="0046456D"/>
    <w:rsid w:val="0047017E"/>
    <w:rsid w:val="00471A17"/>
    <w:rsid w:val="004724DC"/>
    <w:rsid w:val="00475AE2"/>
    <w:rsid w:val="00483B7F"/>
    <w:rsid w:val="0048457F"/>
    <w:rsid w:val="0049254D"/>
    <w:rsid w:val="004925CE"/>
    <w:rsid w:val="00493C66"/>
    <w:rsid w:val="0049486A"/>
    <w:rsid w:val="004A2DF2"/>
    <w:rsid w:val="004A50CE"/>
    <w:rsid w:val="004B0153"/>
    <w:rsid w:val="004B41BC"/>
    <w:rsid w:val="004B6FF4"/>
    <w:rsid w:val="004D65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154A1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06E7"/>
    <w:rsid w:val="00586A81"/>
    <w:rsid w:val="005901D4"/>
    <w:rsid w:val="005948A7"/>
    <w:rsid w:val="005A2494"/>
    <w:rsid w:val="005A73F7"/>
    <w:rsid w:val="005D35F3"/>
    <w:rsid w:val="005E03A7"/>
    <w:rsid w:val="005E125F"/>
    <w:rsid w:val="005E3D55"/>
    <w:rsid w:val="00604333"/>
    <w:rsid w:val="006132CE"/>
    <w:rsid w:val="00620BBA"/>
    <w:rsid w:val="006247D4"/>
    <w:rsid w:val="00627C17"/>
    <w:rsid w:val="00631875"/>
    <w:rsid w:val="00641AEA"/>
    <w:rsid w:val="0064660E"/>
    <w:rsid w:val="00651FF5"/>
    <w:rsid w:val="00670B89"/>
    <w:rsid w:val="00672EE7"/>
    <w:rsid w:val="00673BD7"/>
    <w:rsid w:val="00675F88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390F"/>
    <w:rsid w:val="006F1592"/>
    <w:rsid w:val="006F78A8"/>
    <w:rsid w:val="00702A38"/>
    <w:rsid w:val="0070602C"/>
    <w:rsid w:val="00715876"/>
    <w:rsid w:val="00717DBE"/>
    <w:rsid w:val="00720025"/>
    <w:rsid w:val="00727763"/>
    <w:rsid w:val="007278C5"/>
    <w:rsid w:val="00737469"/>
    <w:rsid w:val="0074178E"/>
    <w:rsid w:val="00750400"/>
    <w:rsid w:val="0075770E"/>
    <w:rsid w:val="00763B6D"/>
    <w:rsid w:val="00776B13"/>
    <w:rsid w:val="00776D1C"/>
    <w:rsid w:val="00777A7A"/>
    <w:rsid w:val="0078010B"/>
    <w:rsid w:val="00780733"/>
    <w:rsid w:val="00780B43"/>
    <w:rsid w:val="00790388"/>
    <w:rsid w:val="00794C7C"/>
    <w:rsid w:val="00796D0E"/>
    <w:rsid w:val="007A1867"/>
    <w:rsid w:val="007A7D79"/>
    <w:rsid w:val="007C3B9C"/>
    <w:rsid w:val="007C4EE5"/>
    <w:rsid w:val="007D0C4F"/>
    <w:rsid w:val="007D474B"/>
    <w:rsid w:val="007E5206"/>
    <w:rsid w:val="007F1A7F"/>
    <w:rsid w:val="007F28A2"/>
    <w:rsid w:val="007F3365"/>
    <w:rsid w:val="00804082"/>
    <w:rsid w:val="00805D72"/>
    <w:rsid w:val="00806780"/>
    <w:rsid w:val="00810296"/>
    <w:rsid w:val="00812FB5"/>
    <w:rsid w:val="00816295"/>
    <w:rsid w:val="00816E50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7A1"/>
    <w:rsid w:val="00870EF2"/>
    <w:rsid w:val="008717C5"/>
    <w:rsid w:val="0088338B"/>
    <w:rsid w:val="0088496F"/>
    <w:rsid w:val="008923A8"/>
    <w:rsid w:val="008A5EAD"/>
    <w:rsid w:val="008B1C61"/>
    <w:rsid w:val="008B320B"/>
    <w:rsid w:val="008B56EA"/>
    <w:rsid w:val="008B736F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3E60"/>
    <w:rsid w:val="00944E3D"/>
    <w:rsid w:val="00950386"/>
    <w:rsid w:val="00951860"/>
    <w:rsid w:val="00960C37"/>
    <w:rsid w:val="00961E38"/>
    <w:rsid w:val="00965A76"/>
    <w:rsid w:val="00966D51"/>
    <w:rsid w:val="0098276C"/>
    <w:rsid w:val="00983C53"/>
    <w:rsid w:val="009908B1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097F"/>
    <w:rsid w:val="009E3070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37B27"/>
    <w:rsid w:val="00A42085"/>
    <w:rsid w:val="00A42797"/>
    <w:rsid w:val="00A52BDD"/>
    <w:rsid w:val="00A600AA"/>
    <w:rsid w:val="00A72534"/>
    <w:rsid w:val="00A809C5"/>
    <w:rsid w:val="00A81589"/>
    <w:rsid w:val="00A86FF6"/>
    <w:rsid w:val="00A87EC5"/>
    <w:rsid w:val="00A94967"/>
    <w:rsid w:val="00A94C5A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2F08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06CF"/>
    <w:rsid w:val="00B2411F"/>
    <w:rsid w:val="00B24E34"/>
    <w:rsid w:val="00B35D67"/>
    <w:rsid w:val="00B420C1"/>
    <w:rsid w:val="00B4287F"/>
    <w:rsid w:val="00B44A11"/>
    <w:rsid w:val="00B516F7"/>
    <w:rsid w:val="00B530BA"/>
    <w:rsid w:val="00B557AA"/>
    <w:rsid w:val="00B64323"/>
    <w:rsid w:val="00B649AC"/>
    <w:rsid w:val="00B66F59"/>
    <w:rsid w:val="00B678F1"/>
    <w:rsid w:val="00B71019"/>
    <w:rsid w:val="00B71177"/>
    <w:rsid w:val="00B73D5E"/>
    <w:rsid w:val="00B77077"/>
    <w:rsid w:val="00B80D9C"/>
    <w:rsid w:val="00B817A1"/>
    <w:rsid w:val="00B839A1"/>
    <w:rsid w:val="00B83B6B"/>
    <w:rsid w:val="00B8444F"/>
    <w:rsid w:val="00B848D5"/>
    <w:rsid w:val="00B85F7B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06BF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2F2A"/>
    <w:rsid w:val="00C86122"/>
    <w:rsid w:val="00C9697B"/>
    <w:rsid w:val="00CA1E98"/>
    <w:rsid w:val="00CA2022"/>
    <w:rsid w:val="00CA36B8"/>
    <w:rsid w:val="00CA4E7D"/>
    <w:rsid w:val="00CA7140"/>
    <w:rsid w:val="00CB065C"/>
    <w:rsid w:val="00CB2133"/>
    <w:rsid w:val="00CC13F9"/>
    <w:rsid w:val="00CC4FF8"/>
    <w:rsid w:val="00CD3723"/>
    <w:rsid w:val="00CD39E8"/>
    <w:rsid w:val="00CD5413"/>
    <w:rsid w:val="00CD7BB4"/>
    <w:rsid w:val="00CE3C3A"/>
    <w:rsid w:val="00CE4292"/>
    <w:rsid w:val="00D03A79"/>
    <w:rsid w:val="00D0676C"/>
    <w:rsid w:val="00D118A2"/>
    <w:rsid w:val="00D2155A"/>
    <w:rsid w:val="00D27015"/>
    <w:rsid w:val="00D2776C"/>
    <w:rsid w:val="00D27E4E"/>
    <w:rsid w:val="00D32AA7"/>
    <w:rsid w:val="00D33832"/>
    <w:rsid w:val="00D46468"/>
    <w:rsid w:val="00D46A6C"/>
    <w:rsid w:val="00D55B37"/>
    <w:rsid w:val="00D5634E"/>
    <w:rsid w:val="00D6312B"/>
    <w:rsid w:val="00D70D8F"/>
    <w:rsid w:val="00D76B84"/>
    <w:rsid w:val="00D77DCF"/>
    <w:rsid w:val="00D876AB"/>
    <w:rsid w:val="00D93C67"/>
    <w:rsid w:val="00D94587"/>
    <w:rsid w:val="00D97042"/>
    <w:rsid w:val="00DA31F0"/>
    <w:rsid w:val="00DB2CC7"/>
    <w:rsid w:val="00DB5409"/>
    <w:rsid w:val="00DB78E4"/>
    <w:rsid w:val="00DC016D"/>
    <w:rsid w:val="00DC5FDC"/>
    <w:rsid w:val="00DD3C9D"/>
    <w:rsid w:val="00DE0427"/>
    <w:rsid w:val="00DE3439"/>
    <w:rsid w:val="00DF0813"/>
    <w:rsid w:val="00DF25BD"/>
    <w:rsid w:val="00E11728"/>
    <w:rsid w:val="00E15630"/>
    <w:rsid w:val="00E24167"/>
    <w:rsid w:val="00E24878"/>
    <w:rsid w:val="00E32BFD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230"/>
    <w:rsid w:val="00EA55CD"/>
    <w:rsid w:val="00EA60F9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767AE"/>
    <w:rsid w:val="00F82FB8"/>
    <w:rsid w:val="00F83011"/>
    <w:rsid w:val="00F83B5D"/>
    <w:rsid w:val="00F8452A"/>
    <w:rsid w:val="00F93297"/>
    <w:rsid w:val="00F942E4"/>
    <w:rsid w:val="00F942E7"/>
    <w:rsid w:val="00F953D5"/>
    <w:rsid w:val="00F97D67"/>
    <w:rsid w:val="00FA19DB"/>
    <w:rsid w:val="00FA430D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D856DD"/>
  <w15:docId w15:val="{18A197F1-BC22-4449-88BA-AC65AB899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213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8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cp:lastModifiedBy>Shipley, Melissa A.</cp:lastModifiedBy>
  <cp:revision>4</cp:revision>
  <dcterms:created xsi:type="dcterms:W3CDTF">2024-09-16T19:23:00Z</dcterms:created>
  <dcterms:modified xsi:type="dcterms:W3CDTF">2024-12-26T23:44:00Z</dcterms:modified>
</cp:coreProperties>
</file>