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11" w:rsidRDefault="00CA5311" w:rsidP="00CA5311">
      <w:pPr>
        <w:widowControl w:val="0"/>
        <w:autoSpaceDE w:val="0"/>
        <w:autoSpaceDN w:val="0"/>
        <w:adjustRightInd w:val="0"/>
      </w:pPr>
      <w:bookmarkStart w:id="0" w:name="_GoBack"/>
      <w:bookmarkEnd w:id="0"/>
    </w:p>
    <w:p w:rsidR="00CA5311" w:rsidRDefault="00CA5311" w:rsidP="00CA5311">
      <w:pPr>
        <w:widowControl w:val="0"/>
        <w:autoSpaceDE w:val="0"/>
        <w:autoSpaceDN w:val="0"/>
        <w:adjustRightInd w:val="0"/>
      </w:pPr>
      <w:r>
        <w:rPr>
          <w:b/>
          <w:bCs/>
        </w:rPr>
        <w:t>Section 400.320  Additional Requirements for Specific Facility Types</w:t>
      </w:r>
      <w:r>
        <w:t xml:space="preserve"> </w:t>
      </w:r>
    </w:p>
    <w:p w:rsidR="00CA5311" w:rsidRDefault="00CA5311" w:rsidP="00CA5311">
      <w:pPr>
        <w:widowControl w:val="0"/>
        <w:autoSpaceDE w:val="0"/>
        <w:autoSpaceDN w:val="0"/>
        <w:adjustRightInd w:val="0"/>
      </w:pPr>
    </w:p>
    <w:p w:rsidR="00CA5311" w:rsidRDefault="00CA5311" w:rsidP="00CA5311">
      <w:pPr>
        <w:widowControl w:val="0"/>
        <w:autoSpaceDE w:val="0"/>
        <w:autoSpaceDN w:val="0"/>
        <w:adjustRightInd w:val="0"/>
      </w:pPr>
      <w:r>
        <w:t xml:space="preserve">All public facilities are subject to Section 400.310 inclusively and to the following additional requirements as appropriate to the facility type. </w:t>
      </w:r>
    </w:p>
    <w:p w:rsidR="00DF677A" w:rsidRDefault="00DF677A" w:rsidP="00CA5311">
      <w:pPr>
        <w:widowControl w:val="0"/>
        <w:autoSpaceDE w:val="0"/>
        <w:autoSpaceDN w:val="0"/>
        <w:adjustRightInd w:val="0"/>
      </w:pPr>
    </w:p>
    <w:p w:rsidR="00CA5311" w:rsidRDefault="00CA5311" w:rsidP="00CA5311">
      <w:pPr>
        <w:widowControl w:val="0"/>
        <w:autoSpaceDE w:val="0"/>
        <w:autoSpaceDN w:val="0"/>
        <w:adjustRightInd w:val="0"/>
        <w:ind w:left="1440" w:hanging="720"/>
      </w:pPr>
      <w:r>
        <w:t>a)</w:t>
      </w:r>
      <w:r>
        <w:tab/>
        <w:t xml:space="preserve">Auditorium and Assembly Areas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General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In places of assembly with fixed seating, accessible wheelchair locations shall comply with the requirements of subsections (a)(2) through (4) of this Section below, and shall be provided in the following minimum quantities: (ADAAG 4.1.3(19)(a)) </w:t>
      </w:r>
    </w:p>
    <w:p w:rsidR="00CA5311" w:rsidRDefault="00CA5311" w:rsidP="00CA5311">
      <w:pPr>
        <w:widowControl w:val="0"/>
        <w:autoSpaceDE w:val="0"/>
        <w:autoSpaceDN w:val="0"/>
        <w:adjustRightInd w:val="0"/>
        <w:ind w:left="2880" w:hanging="720"/>
      </w:pPr>
    </w:p>
    <w:tbl>
      <w:tblPr>
        <w:tblW w:w="0" w:type="auto"/>
        <w:tblInd w:w="22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4080"/>
        <w:gridCol w:w="3327"/>
      </w:tblGrid>
      <w:tr w:rsidR="00DB3E39">
        <w:tblPrEx>
          <w:tblCellMar>
            <w:top w:w="0" w:type="dxa"/>
            <w:bottom w:w="0" w:type="dxa"/>
          </w:tblCellMar>
        </w:tblPrEx>
        <w:trPr>
          <w:trHeight w:val="570"/>
        </w:trPr>
        <w:tc>
          <w:tcPr>
            <w:tcW w:w="4080" w:type="dxa"/>
            <w:tcBorders>
              <w:top w:val="nil"/>
              <w:left w:val="nil"/>
              <w:right w:val="nil"/>
            </w:tcBorders>
          </w:tcPr>
          <w:p w:rsidR="00DB3E39" w:rsidRDefault="00DB3E39" w:rsidP="00983722">
            <w:pPr>
              <w:widowControl w:val="0"/>
              <w:autoSpaceDE w:val="0"/>
              <w:autoSpaceDN w:val="0"/>
              <w:adjustRightInd w:val="0"/>
              <w:ind w:left="-498" w:right="-450"/>
              <w:jc w:val="center"/>
            </w:pPr>
            <w:r>
              <w:t>NUMBER OF FIXED SEATS</w:t>
            </w:r>
          </w:p>
          <w:p w:rsidR="00DB3E39" w:rsidRDefault="00DB3E39" w:rsidP="00983722">
            <w:pPr>
              <w:widowControl w:val="0"/>
              <w:autoSpaceDE w:val="0"/>
              <w:autoSpaceDN w:val="0"/>
              <w:adjustRightInd w:val="0"/>
              <w:ind w:left="-480" w:right="-450"/>
              <w:jc w:val="center"/>
            </w:pPr>
            <w:r>
              <w:t>LOCATIONS</w:t>
            </w:r>
          </w:p>
        </w:tc>
        <w:tc>
          <w:tcPr>
            <w:tcW w:w="3327" w:type="dxa"/>
            <w:tcBorders>
              <w:top w:val="nil"/>
              <w:left w:val="nil"/>
              <w:right w:val="nil"/>
            </w:tcBorders>
          </w:tcPr>
          <w:p w:rsidR="00DB3E39" w:rsidRDefault="00DB3E39" w:rsidP="00983722">
            <w:pPr>
              <w:widowControl w:val="0"/>
              <w:autoSpaceDE w:val="0"/>
              <w:autoSpaceDN w:val="0"/>
              <w:adjustRightInd w:val="0"/>
              <w:ind w:left="-360" w:right="-468"/>
              <w:jc w:val="center"/>
            </w:pPr>
            <w:r>
              <w:t>NUMBER OF REQUIRED WHEELCHAIR</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480" w:right="-450"/>
            </w:pPr>
            <w:r>
              <w:t xml:space="preserve"> </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pP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1-25</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1</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26-50</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2 together</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51-100</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4</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101-150</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5</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151-200</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6</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201-300</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7</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301-400</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8</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401-500</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9</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501-1000</w:t>
            </w:r>
          </w:p>
        </w:tc>
        <w:tc>
          <w:tcPr>
            <w:tcW w:w="3327" w:type="dxa"/>
            <w:tcBorders>
              <w:top w:val="nil"/>
              <w:left w:val="nil"/>
              <w:bottom w:val="nil"/>
              <w:right w:val="nil"/>
            </w:tcBorders>
          </w:tcPr>
          <w:p w:rsidR="00DB3E39" w:rsidRDefault="00DB3E39" w:rsidP="00983722">
            <w:pPr>
              <w:widowControl w:val="0"/>
              <w:autoSpaceDE w:val="0"/>
              <w:autoSpaceDN w:val="0"/>
              <w:adjustRightInd w:val="0"/>
              <w:ind w:right="-468"/>
              <w:jc w:val="center"/>
            </w:pPr>
            <w:r>
              <w:t>2% of total number</w:t>
            </w:r>
          </w:p>
        </w:tc>
      </w:tr>
      <w:tr w:rsidR="00DB3E39">
        <w:tblPrEx>
          <w:tblCellMar>
            <w:top w:w="0" w:type="dxa"/>
            <w:bottom w:w="0" w:type="dxa"/>
          </w:tblCellMar>
        </w:tblPrEx>
        <w:tc>
          <w:tcPr>
            <w:tcW w:w="4080" w:type="dxa"/>
            <w:tcBorders>
              <w:top w:val="nil"/>
              <w:left w:val="nil"/>
              <w:bottom w:val="nil"/>
              <w:right w:val="nil"/>
            </w:tcBorders>
          </w:tcPr>
          <w:p w:rsidR="00DB3E39" w:rsidRDefault="00DB3E39" w:rsidP="00983722">
            <w:pPr>
              <w:widowControl w:val="0"/>
              <w:autoSpaceDE w:val="0"/>
              <w:autoSpaceDN w:val="0"/>
              <w:adjustRightInd w:val="0"/>
              <w:ind w:left="1230" w:right="-450"/>
            </w:pPr>
            <w:r>
              <w:t>Over 1000</w:t>
            </w:r>
          </w:p>
        </w:tc>
        <w:tc>
          <w:tcPr>
            <w:tcW w:w="3327" w:type="dxa"/>
            <w:tcBorders>
              <w:top w:val="nil"/>
              <w:left w:val="nil"/>
              <w:bottom w:val="nil"/>
              <w:right w:val="nil"/>
            </w:tcBorders>
          </w:tcPr>
          <w:p w:rsidR="00DB3E39" w:rsidRDefault="00DB3E39" w:rsidP="00983722">
            <w:pPr>
              <w:widowControl w:val="0"/>
              <w:autoSpaceDE w:val="0"/>
              <w:autoSpaceDN w:val="0"/>
              <w:adjustRightInd w:val="0"/>
              <w:ind w:left="-492" w:right="-663"/>
              <w:jc w:val="center"/>
            </w:pPr>
            <w:r>
              <w:t>20 plus 1 for each 100 over 1000</w:t>
            </w:r>
          </w:p>
        </w:tc>
      </w:tr>
    </w:tbl>
    <w:p w:rsidR="00CA5311" w:rsidRDefault="00CA5311" w:rsidP="00DB3E39">
      <w:pPr>
        <w:widowControl w:val="0"/>
        <w:autoSpaceDE w:val="0"/>
        <w:autoSpaceDN w:val="0"/>
        <w:adjustRightInd w:val="0"/>
        <w:ind w:left="3528" w:hanging="678"/>
      </w:pPr>
      <w:r>
        <w:t xml:space="preserve">Note:  For seating 51 and over, arrange wheelchair locations in pairs insofar as possible. </w:t>
      </w:r>
    </w:p>
    <w:p w:rsidR="00DB3E39" w:rsidRDefault="00DB3E39" w:rsidP="00DB3E39">
      <w:pPr>
        <w:widowControl w:val="0"/>
        <w:autoSpaceDE w:val="0"/>
        <w:autoSpaceDN w:val="0"/>
        <w:adjustRightInd w:val="0"/>
        <w:ind w:left="3528" w:hanging="678"/>
      </w:pPr>
    </w:p>
    <w:p w:rsidR="00CA5311" w:rsidRDefault="00CA5311" w:rsidP="00CA5311">
      <w:pPr>
        <w:widowControl w:val="0"/>
        <w:autoSpaceDE w:val="0"/>
        <w:autoSpaceDN w:val="0"/>
        <w:adjustRightInd w:val="0"/>
        <w:ind w:left="2880" w:hanging="720"/>
      </w:pPr>
      <w:r>
        <w:t>B)</w:t>
      </w:r>
      <w:r>
        <w:tab/>
        <w:t xml:space="preserve">In addition, 1%, but not fewer than one, of all fixed seats shall be aisle seats with no armrests on the aisle side, or removable or folding armrests on the aisle side.  Each such seat shall be identified by a sign or marker. Signage notifying patrons of the availability of such seats shall be posted at the ticket office.  Aisle seats are not required to comply with subsection (a)(4) of this Section.  (ADAAG 4.1.3(19)(a))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Size of Wheelchair Locations.  Each wheelchair location shall provide minimum clear ground or floor spaces as shown in Illustration B, Fig. 46. (ADAAG 4.33.2)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Placement of Wheelchair Locations.  Wheelchair areas shall be an integral part of any fixed seating plan and shall be provided so as to provide people with physical disabilities a choice of admission prices and lines of sight comparable to those for members of the general public.  They shall adjoin an accessible route that also serves as a means of egress in case of emergency. At least one companion fixed seat shall be provided next to each wheelchair seating area.  Readily removable seats may be installed in wheelchair spaces when the spaces are not required to accommodate wheelchair users. </w:t>
      </w:r>
    </w:p>
    <w:p w:rsidR="00DF677A" w:rsidRDefault="00DF677A" w:rsidP="00DB3E39">
      <w:pPr>
        <w:widowControl w:val="0"/>
        <w:autoSpaceDE w:val="0"/>
        <w:autoSpaceDN w:val="0"/>
        <w:adjustRightInd w:val="0"/>
        <w:ind w:left="2160"/>
      </w:pPr>
    </w:p>
    <w:p w:rsidR="00CA5311" w:rsidRDefault="00CA5311" w:rsidP="00DB3E39">
      <w:pPr>
        <w:widowControl w:val="0"/>
        <w:autoSpaceDE w:val="0"/>
        <w:autoSpaceDN w:val="0"/>
        <w:adjustRightInd w:val="0"/>
        <w:ind w:left="2160"/>
      </w:pPr>
      <w:r>
        <w:t xml:space="preserve">EXCEPTION:  Accessible viewing positions may be clustered for bleachers, balconies, and other areas having sight lines that require slopes of greater than 5%.  Equivalent accessible viewing positions may be located on levels having accessible egress. (Excerpt from ADAAG 4.33.3) </w:t>
      </w:r>
    </w:p>
    <w:p w:rsidR="00DF677A" w:rsidRDefault="00DF677A" w:rsidP="00DB3E39">
      <w:pPr>
        <w:widowControl w:val="0"/>
        <w:autoSpaceDE w:val="0"/>
        <w:autoSpaceDN w:val="0"/>
        <w:adjustRightInd w:val="0"/>
        <w:ind w:left="2160"/>
      </w:pPr>
    </w:p>
    <w:p w:rsidR="00CA5311" w:rsidRDefault="00CA5311" w:rsidP="00CA5311">
      <w:pPr>
        <w:widowControl w:val="0"/>
        <w:autoSpaceDE w:val="0"/>
        <w:autoSpaceDN w:val="0"/>
        <w:adjustRightInd w:val="0"/>
        <w:ind w:left="2160" w:hanging="720"/>
      </w:pPr>
      <w:r>
        <w:t>4)</w:t>
      </w:r>
      <w:r>
        <w:tab/>
        <w:t xml:space="preserve">Surfaces.  The ground or floor at wheelchair locations shall be level and shall comply with Section 400.310(a)(5), (7), (11) and (12). (ADAAG 4.33.4)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5)</w:t>
      </w:r>
      <w:r>
        <w:tab/>
        <w:t xml:space="preserve">Access to Performing Areas.  An accessible route shall connect wheelchair seating locations with performing areas, including stages, arena floors, dressing rooms, locker rooms, and other spaces used by performers.  (ADAAG 4.33.5)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6)</w:t>
      </w:r>
      <w:r>
        <w:tab/>
        <w:t xml:space="preserve">Listening Systems.  Listening systems conforming with subsections (a)(7) and (8) of this Section are required.  The minimum number of receivers to be provided shall be equal to 4% of the total number of seats, but in no case fewer than two.  Signage complying with the applicable provisions of Section 400.310(u) and utilizing Illustration B, Fig. 43(d) (International Symbol of Access for Hearing Loss) shall be installed to notify patrons of the availability of a listening system. (ADAAG 4.1.3(19)(b))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7)</w:t>
      </w:r>
      <w:r>
        <w:tab/>
        <w:t xml:space="preserve">Placement of Listening Systems.  If the listening system provided serves individual fixed seats, then such seats shall be located within a 50 ft (15 m) viewing distance of the stage or playing area.  (ADAAG 4.33.6)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8)</w:t>
      </w:r>
      <w:r>
        <w:tab/>
        <w:t xml:space="preserve">Types of Listening Systems.  Assistive listening systems (ALS) are intended to augment standard public address and audio systems by providing signals which can be received directly by persons with special receivers or their own hearing aids and which eliminate or filter background noise.  The type of assistive listening system appropriate for a particular application depends on the characteristics of the setting, the nature of the program, and the intended audience.  Magnetic induction loops, infra-red and radio frequency systems are types of listening systems which are appropriate for various applications.  (ADAAG 4.33.7)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b)</w:t>
      </w:r>
      <w:r>
        <w:tab/>
        <w:t xml:space="preserve">Automated Teller Machines (ATMs)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General.  Where ATMs are provided, each ATM shall be on an accessible route and shall comply with the following requirements, except where two or more are provided at a location; then only one must comply.  (ADAAG 4.1.3(20); 4.34.1)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Controls.  Controls for user activation shall comply with the requirements of Section 400.310(r).  (ADAAG 4.34.2)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Clearances and Reach Range.  Free standing or built-in units not having a clear space under them shall comply with Section 400.310(r)(2) and (3) and provide for a parallel approach and both a forward and side reach to the unit allowing a person in a wheelchair to access the controls and dispensers.  (ADAAG 4.34.3)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4)</w:t>
      </w:r>
      <w:r>
        <w:tab/>
        <w:t xml:space="preserve">Equipment for Persons with Vision Impairments.  Instructions and all information for use shall be made accessible to and independently usable by persons with vision impairments.  (ADAAG 4.34.4)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5)</w:t>
      </w:r>
      <w:r>
        <w:tab/>
        <w:t xml:space="preserve">EXCEPTION:  Drive-up only ATMs are not required to comply with Section 400.310(r)(2) and (3) and subsection (b)(3) of this Section.  (ADAAG 4.1.3(20))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c)</w:t>
      </w:r>
      <w:r>
        <w:tab/>
        <w:t xml:space="preserve">Dressing and Fitting Rooms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General.  Where dressing rooms and fitting rooms are provided for use by the general public, patients, customers or employees, 5%, but never fewer than one, of dressing rooms for each type of use in each cluster of dressing rooms shall be accessible, shall be on an accessible route, and shall comply with the requirements of subsections (c)(2) through (5), below.  Examples of types of dressing rooms are those serving different genders or distinct and different functions as in different treatment or examination facilities. (ADAAG 4.1.3(21); 4.35.1)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Clear Floor Space.  A clear floor space allowing a person using a wheelchair to make a 180 degree turn shall be provided in every accessible dressing room entered through a swinging or sliding door.  No door shall swing into any part of the turning space.  Turning space shall not be required in a private dressing room entered through a curtained opening at least 32 in. (815 mm) wide if clear floor space complying with Section 400.220 renders the dressing room usable by a person using a wheelchair.  (ADAAG 4.35.2)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Doors.  All doors to accessible dressing rooms shall be in compliance with Section 400.310(j).  (ADAAG 4.35.3)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4)</w:t>
      </w:r>
      <w:r>
        <w:tab/>
        <w:t xml:space="preserve">Bench.  Every accessible dressing room shall have a 24 in. by 48 in. (610 mm by 1220 mm) bench fixed to the wall along the longer dimension.  The bench shall be mounted 17 in. to 19 in. (430 mm to 485 mm) above the finish floor. Clear floor space shall be provided alongside the bench to allow a person using a wheelchair to make a parallel transfer onto the bench.  The structural strength of the bench and attachments shall comply with Section 400.310(q)(3). Where installed in conjunction with showers, swimming pools, or other wet locations, water shall not accumulate upon the surface of the bench and the bench shall have a slip-resistant surface.  (ADAAG 4.35.4)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5)</w:t>
      </w:r>
      <w:r>
        <w:tab/>
        <w:t xml:space="preserve">Mirror.  Where mirrors are provided in dressing rooms of the same use, then in an accessible dressing room, a full-length mirror, measuring at least 18 in. wide by 54 in. high (460 mm by 1370 mm) shall be mounted in a position affording a view to a person on the bench as well as to a person in a standing position.  (ADAAG 4.35.5)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d)</w:t>
      </w:r>
      <w:r>
        <w:tab/>
        <w:t xml:space="preserve">Medical Care Facilities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General.  Medical care facilities included in this Section are outpatient facilities and those in which people receive physical or medical treatment or care and where persons may need assistance in responding to an emergency and where the period of stay may exceed 24 hours.  In addition to the requirements of Section 400.310, medical</w:t>
      </w:r>
      <w:r w:rsidR="00DB3E39">
        <w:t xml:space="preserve"> care facilities and buildings </w:t>
      </w:r>
      <w:r>
        <w:t xml:space="preserve">shall comply with the following requirements: (ADAAG 6.1)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Hospitals, including general purpose hospitals, psychiatric facilities and detoxification facilities.  At least 10% of patient bedrooms and toilets, and all public use, common use and employee use areas are required to be designed and constructed to be accessible. (ADAAG 6.1(1))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B)</w:t>
      </w:r>
      <w:r>
        <w:tab/>
        <w:t xml:space="preserve">Hospitals and rehabilitation facilities that specialize in treating conditions that affect mobility, or units within either that specialize in treating conditions that affect mobility.  All patient bedrooms and toilets, and all public use, common use and employee use areas are required to be designed and constructed to be accessible. (ADAAG 6.1(2))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C)</w:t>
      </w:r>
      <w:r>
        <w:tab/>
        <w:t xml:space="preserve">Long term care facilities and nursing homes.  At least 50% of patient bedrooms and toilets, and all public use, common use and employee use areas are required to be designed and constructed to be accessible. (ADAAG 6.1(3))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D)</w:t>
      </w:r>
      <w:r>
        <w:tab/>
        <w:t xml:space="preserve">Alterations to patient bedrooms.  (See Section 400.510(e)(5).)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E)</w:t>
      </w:r>
      <w:r>
        <w:tab/>
        <w:t xml:space="preserve">Outpatient facilities.  All public use, common use and employee use areas are required to be designed and constructed to be accessible.  If the facility has patient bedrooms and toilets, at least 10% must be accessible.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Entrances.  At least one accessible entrance that complies with Section 400.310(k) shall be protected from the weather by canopy or roof overhang. Such entrances shall incorporate a passenger loading zone that complies with Section 400.310(c)(5).  (ADAAG 6.2)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Patient Bedrooms.  Accessible patient bedrooms shall be provided in compliance with Section 400.310.  Accessible patient bedrooms shall also comply with the following: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Each bedroom shall have a door that complies with Section 400.310(j). </w:t>
      </w:r>
    </w:p>
    <w:p w:rsidR="00DF677A" w:rsidRDefault="00DF677A" w:rsidP="00DB3E39">
      <w:pPr>
        <w:widowControl w:val="0"/>
        <w:autoSpaceDE w:val="0"/>
        <w:autoSpaceDN w:val="0"/>
        <w:adjustRightInd w:val="0"/>
        <w:ind w:left="2880"/>
      </w:pPr>
    </w:p>
    <w:p w:rsidR="00CA5311" w:rsidRDefault="00CA5311" w:rsidP="00DB3E39">
      <w:pPr>
        <w:widowControl w:val="0"/>
        <w:autoSpaceDE w:val="0"/>
        <w:autoSpaceDN w:val="0"/>
        <w:adjustRightInd w:val="0"/>
        <w:ind w:left="2880"/>
      </w:pPr>
      <w:r>
        <w:t xml:space="preserve">EXCEPTION:  Entry doors to acute care hospital bedrooms for in-patients shall be exempted from the requirements in Section 400.310(j)(5) for maneuvering space at the latch side of the door if the door is at least 44 in. (1120 mm) wide. </w:t>
      </w:r>
    </w:p>
    <w:p w:rsidR="00CA5311" w:rsidRDefault="00CA5311" w:rsidP="00CA5311">
      <w:pPr>
        <w:widowControl w:val="0"/>
        <w:autoSpaceDE w:val="0"/>
        <w:autoSpaceDN w:val="0"/>
        <w:adjustRightInd w:val="0"/>
        <w:ind w:left="2880" w:hanging="720"/>
      </w:pPr>
      <w:r>
        <w:t>B)</w:t>
      </w:r>
      <w:r>
        <w:tab/>
        <w:t xml:space="preserve">Each bedroom shall have adequate space to provide a maneuvering space that complies with Section 400.220(c).  In rooms with two beds, it is preferable that this space be located between beds.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C)</w:t>
      </w:r>
      <w:r>
        <w:tab/>
        <w:t xml:space="preserve">Each bedroom shall have adequate space to provide a minimum clear floor space of 36 in. (915 mm) along each side of the bed and to provide an accessible route complying with Section 400.310(a)(2) to each side of each bed.  (ADAAG 6.3)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4)</w:t>
      </w:r>
      <w:r>
        <w:tab/>
        <w:t xml:space="preserve">Patient Toilet Rooms.  Where toilet/bath rooms are provided as a part of a patient bedroom, each patient bedroom that is required to be accessible shall have an accessible toilet/bath room that complies with Section 400.310(n) or (o) and shall be on an accessible route.  (ADAAG 6.4)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e)</w:t>
      </w:r>
      <w:r>
        <w:tab/>
        <w:t xml:space="preserve">Housing Owned or Financed by a Governmental Unit </w:t>
      </w:r>
    </w:p>
    <w:p w:rsidR="00CA5311" w:rsidRDefault="00CA5311" w:rsidP="00DB3E39">
      <w:pPr>
        <w:widowControl w:val="0"/>
        <w:autoSpaceDE w:val="0"/>
        <w:autoSpaceDN w:val="0"/>
        <w:adjustRightInd w:val="0"/>
        <w:ind w:left="1440"/>
      </w:pPr>
      <w:r>
        <w:t xml:space="preserve">Housing units owned or financed by a governmental unit which consist of five or more dwelling units on each project site, shall comply with all requirements of Multi-Story Housing.  (See Section 400.350.) </w:t>
      </w:r>
    </w:p>
    <w:p w:rsidR="00DF677A" w:rsidRDefault="00DF677A" w:rsidP="00DB3E39">
      <w:pPr>
        <w:widowControl w:val="0"/>
        <w:autoSpaceDE w:val="0"/>
        <w:autoSpaceDN w:val="0"/>
        <w:adjustRightInd w:val="0"/>
        <w:ind w:left="1440"/>
      </w:pPr>
    </w:p>
    <w:p w:rsidR="00CA5311" w:rsidRDefault="00CA5311" w:rsidP="00CA5311">
      <w:pPr>
        <w:widowControl w:val="0"/>
        <w:autoSpaceDE w:val="0"/>
        <w:autoSpaceDN w:val="0"/>
        <w:adjustRightInd w:val="0"/>
        <w:ind w:left="1440" w:hanging="720"/>
      </w:pPr>
      <w:r>
        <w:t>f)</w:t>
      </w:r>
      <w:r>
        <w:tab/>
        <w:t xml:space="preserve">Libraries </w:t>
      </w:r>
    </w:p>
    <w:p w:rsidR="00CA5311" w:rsidRDefault="00CA5311" w:rsidP="00DB3E39">
      <w:pPr>
        <w:widowControl w:val="0"/>
        <w:autoSpaceDE w:val="0"/>
        <w:autoSpaceDN w:val="0"/>
        <w:adjustRightInd w:val="0"/>
        <w:ind w:left="1440"/>
      </w:pPr>
      <w:r>
        <w:t xml:space="preserve">The design of all public areas of a library shall comply with the following requirements, including reading and study areas, stacks, reference rooms, reserve areas, and special facilities or collections. (ADAAG 8.1) </w:t>
      </w:r>
    </w:p>
    <w:p w:rsidR="00DF677A" w:rsidRDefault="00DF677A" w:rsidP="00DB3E39">
      <w:pPr>
        <w:widowControl w:val="0"/>
        <w:autoSpaceDE w:val="0"/>
        <w:autoSpaceDN w:val="0"/>
        <w:adjustRightInd w:val="0"/>
        <w:ind w:left="1440"/>
      </w:pPr>
    </w:p>
    <w:p w:rsidR="00CA5311" w:rsidRDefault="00CA5311" w:rsidP="00CA5311">
      <w:pPr>
        <w:widowControl w:val="0"/>
        <w:autoSpaceDE w:val="0"/>
        <w:autoSpaceDN w:val="0"/>
        <w:adjustRightInd w:val="0"/>
        <w:ind w:left="2160" w:hanging="720"/>
      </w:pPr>
      <w:r>
        <w:t>1)</w:t>
      </w:r>
      <w:r>
        <w:tab/>
        <w:t xml:space="preserve">Reading and Study Areas.  At least 5% or a minimum of one of each element of fixed seating, tables, or study carrels shall comply with Section 400.220 and Section 400.310(w).  Clearances between fixed accessible tables and between study carrels shall comply with Section 400.310(a)(2). (ADAAG 8.2)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Service Counters.  Where service counters exceeding 34 in. (865 mm) in height are provided as standing counters, an auxiliary service counter or other space suitable for the business transaction by an environmentally limited person, shall be provided in the immediate vicinity and provide the same services.  The auxiliary counter top shall comply with Section 400.310(w).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Check-Out Areas.  At least one lane at each check-out area shall comply with subsection (h)(1)(A) of this Section.  All traffic control or book security gates or turnstiles shall comply with Section 400.310(j). (ADAAG 8.3)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4)</w:t>
      </w:r>
      <w:r>
        <w:tab/>
        <w:t xml:space="preserve">Card Catalogs, Magazine Displays and Reference Materials.  Minimum clear aisle space at card catalogs, magazine displays and reference materials shall be 36 in. (915 mm) as shown in Illustration B, Fig. 55.  Maximum reach height shall comply with Section 400.220, with a height of 48 in. (1220 mm) preferred irrespective of approach allowed.  (ADAAG 8.4)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5)</w:t>
      </w:r>
      <w:r>
        <w:tab/>
        <w:t xml:space="preserve">Stacks.  Minimum clear aisle width between stacks shall comply with Section 400.310(a)(2), with a minimum clear aisle width of 42 in. (1065 mm) preferred where possible.  Shelf height in stack areas is unrestricted (see Illustration B, Fig. 56).  (ADAAG 8.5)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g)</w:t>
      </w:r>
      <w:r>
        <w:tab/>
        <w:t xml:space="preserve">Accessible Transient Lodging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General.  All common areas, common use spaces, and public use spaces shall be accessible and shall comply with Section 400.310.  At least one of each type of amenity (such as washers, dryers and similar equipment installed for the use of occupants) in each common area shall be accessible and shall be located on an accessible route to any accessible unit or sleeping accommodation. (ADAAG 9.5.1)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Number of Accessible Lodging Units.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Five percent of the total number of lodging units with or without bathrooms, or at least one, whichever is greater, shall be accessible.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B)</w:t>
      </w:r>
      <w:r>
        <w:tab/>
        <w:t xml:space="preserve">In places of lodging with 50 or more sleeping rooms or suites, roll-in showers shall be provided in accordance with Section 400.310(o)(8)(B) and Illustration B, Fig. 57(a) or (b) and in conformance with the table below: </w:t>
      </w:r>
    </w:p>
    <w:p w:rsidR="00CA5311" w:rsidRDefault="00CA5311" w:rsidP="00CA5311">
      <w:pPr>
        <w:widowControl w:val="0"/>
        <w:autoSpaceDE w:val="0"/>
        <w:autoSpaceDN w:val="0"/>
        <w:adjustRightInd w:val="0"/>
        <w:ind w:left="2880" w:hanging="720"/>
      </w:pPr>
    </w:p>
    <w:tbl>
      <w:tblPr>
        <w:tblW w:w="0" w:type="auto"/>
        <w:tblInd w:w="2160" w:type="dxa"/>
        <w:tblLook w:val="0000" w:firstRow="0" w:lastRow="0" w:firstColumn="0" w:lastColumn="0" w:noHBand="0" w:noVBand="0"/>
      </w:tblPr>
      <w:tblGrid>
        <w:gridCol w:w="3306"/>
        <w:gridCol w:w="2679"/>
      </w:tblGrid>
      <w:tr w:rsidR="00DB3E39">
        <w:tblPrEx>
          <w:tblCellMar>
            <w:top w:w="0" w:type="dxa"/>
            <w:bottom w:w="0" w:type="dxa"/>
          </w:tblCellMar>
        </w:tblPrEx>
        <w:tc>
          <w:tcPr>
            <w:tcW w:w="3306" w:type="dxa"/>
            <w:tcBorders>
              <w:bottom w:val="single" w:sz="4" w:space="0" w:color="auto"/>
            </w:tcBorders>
          </w:tcPr>
          <w:p w:rsidR="00DB3E39" w:rsidRDefault="00DB3E39" w:rsidP="00DB3E39">
            <w:pPr>
              <w:widowControl w:val="0"/>
              <w:autoSpaceDE w:val="0"/>
              <w:autoSpaceDN w:val="0"/>
              <w:adjustRightInd w:val="0"/>
              <w:ind w:right="768"/>
            </w:pPr>
            <w:r>
              <w:t>Number of Rooms in Lodging Facility</w:t>
            </w:r>
          </w:p>
        </w:tc>
        <w:tc>
          <w:tcPr>
            <w:tcW w:w="2679" w:type="dxa"/>
            <w:tcBorders>
              <w:bottom w:val="single" w:sz="4" w:space="0" w:color="auto"/>
            </w:tcBorders>
          </w:tcPr>
          <w:p w:rsidR="00DB3E39" w:rsidRDefault="00DB3E39" w:rsidP="00DB3E39">
            <w:pPr>
              <w:widowControl w:val="0"/>
              <w:autoSpaceDE w:val="0"/>
              <w:autoSpaceDN w:val="0"/>
              <w:adjustRightInd w:val="0"/>
              <w:ind w:left="-138" w:right="-63"/>
              <w:jc w:val="center"/>
            </w:pPr>
            <w:r>
              <w:t>Number of Rooms with Roll-in Showers</w:t>
            </w:r>
          </w:p>
        </w:tc>
      </w:tr>
      <w:tr w:rsidR="00DB3E39">
        <w:tblPrEx>
          <w:tblCellMar>
            <w:top w:w="0" w:type="dxa"/>
            <w:bottom w:w="0" w:type="dxa"/>
          </w:tblCellMar>
        </w:tblPrEx>
        <w:trPr>
          <w:trHeight w:val="449"/>
        </w:trPr>
        <w:tc>
          <w:tcPr>
            <w:tcW w:w="3306" w:type="dxa"/>
            <w:tcBorders>
              <w:top w:val="single" w:sz="4" w:space="0" w:color="auto"/>
            </w:tcBorders>
            <w:vAlign w:val="bottom"/>
          </w:tcPr>
          <w:p w:rsidR="00DB3E39" w:rsidRDefault="00DB3E39" w:rsidP="00DB3E39">
            <w:pPr>
              <w:widowControl w:val="0"/>
              <w:autoSpaceDE w:val="0"/>
              <w:autoSpaceDN w:val="0"/>
              <w:adjustRightInd w:val="0"/>
              <w:ind w:right="768"/>
            </w:pPr>
            <w:r>
              <w:t>51</w:t>
            </w:r>
            <w:r w:rsidR="00D16178">
              <w:t xml:space="preserve"> to </w:t>
            </w:r>
            <w:r>
              <w:t>75</w:t>
            </w:r>
          </w:p>
        </w:tc>
        <w:tc>
          <w:tcPr>
            <w:tcW w:w="2679" w:type="dxa"/>
            <w:tcBorders>
              <w:top w:val="single" w:sz="4" w:space="0" w:color="auto"/>
            </w:tcBorders>
            <w:vAlign w:val="bottom"/>
          </w:tcPr>
          <w:p w:rsidR="00DB3E39" w:rsidRDefault="00DB3E39" w:rsidP="00DB3E39">
            <w:pPr>
              <w:widowControl w:val="0"/>
              <w:autoSpaceDE w:val="0"/>
              <w:autoSpaceDN w:val="0"/>
              <w:adjustRightInd w:val="0"/>
              <w:ind w:right="-96"/>
              <w:jc w:val="center"/>
            </w:pPr>
            <w:r>
              <w:t>1</w:t>
            </w:r>
          </w:p>
        </w:tc>
      </w:tr>
      <w:tr w:rsidR="00DB3E39">
        <w:tblPrEx>
          <w:tblCellMar>
            <w:top w:w="0" w:type="dxa"/>
            <w:bottom w:w="0" w:type="dxa"/>
          </w:tblCellMar>
        </w:tblPrEx>
        <w:tc>
          <w:tcPr>
            <w:tcW w:w="3306" w:type="dxa"/>
          </w:tcPr>
          <w:p w:rsidR="00DB3E39" w:rsidRDefault="00DB3E39" w:rsidP="00DB3E39">
            <w:pPr>
              <w:widowControl w:val="0"/>
              <w:autoSpaceDE w:val="0"/>
              <w:autoSpaceDN w:val="0"/>
              <w:adjustRightInd w:val="0"/>
              <w:ind w:right="768"/>
            </w:pPr>
            <w:r>
              <w:t>76 to 100</w:t>
            </w:r>
          </w:p>
        </w:tc>
        <w:tc>
          <w:tcPr>
            <w:tcW w:w="2679" w:type="dxa"/>
          </w:tcPr>
          <w:p w:rsidR="00DB3E39" w:rsidRDefault="00DB3E39" w:rsidP="00DB3E39">
            <w:pPr>
              <w:widowControl w:val="0"/>
              <w:autoSpaceDE w:val="0"/>
              <w:autoSpaceDN w:val="0"/>
              <w:adjustRightInd w:val="0"/>
              <w:ind w:right="-96"/>
              <w:jc w:val="center"/>
            </w:pPr>
            <w:r>
              <w:t>1</w:t>
            </w:r>
          </w:p>
        </w:tc>
      </w:tr>
      <w:tr w:rsidR="00DB3E39">
        <w:tblPrEx>
          <w:tblCellMar>
            <w:top w:w="0" w:type="dxa"/>
            <w:bottom w:w="0" w:type="dxa"/>
          </w:tblCellMar>
        </w:tblPrEx>
        <w:tc>
          <w:tcPr>
            <w:tcW w:w="3306" w:type="dxa"/>
          </w:tcPr>
          <w:p w:rsidR="00DB3E39" w:rsidRDefault="00DB3E39" w:rsidP="00DB3E39">
            <w:pPr>
              <w:widowControl w:val="0"/>
              <w:autoSpaceDE w:val="0"/>
              <w:autoSpaceDN w:val="0"/>
              <w:adjustRightInd w:val="0"/>
              <w:ind w:right="768"/>
            </w:pPr>
            <w:r>
              <w:t>101 to 150</w:t>
            </w:r>
          </w:p>
        </w:tc>
        <w:tc>
          <w:tcPr>
            <w:tcW w:w="2679" w:type="dxa"/>
          </w:tcPr>
          <w:p w:rsidR="00DB3E39" w:rsidRDefault="00DB3E39" w:rsidP="00DB3E39">
            <w:pPr>
              <w:widowControl w:val="0"/>
              <w:autoSpaceDE w:val="0"/>
              <w:autoSpaceDN w:val="0"/>
              <w:adjustRightInd w:val="0"/>
              <w:ind w:right="-96"/>
              <w:jc w:val="center"/>
            </w:pPr>
            <w:r>
              <w:t>2</w:t>
            </w:r>
          </w:p>
        </w:tc>
      </w:tr>
      <w:tr w:rsidR="00DB3E39">
        <w:tblPrEx>
          <w:tblCellMar>
            <w:top w:w="0" w:type="dxa"/>
            <w:bottom w:w="0" w:type="dxa"/>
          </w:tblCellMar>
        </w:tblPrEx>
        <w:tc>
          <w:tcPr>
            <w:tcW w:w="3306" w:type="dxa"/>
          </w:tcPr>
          <w:p w:rsidR="00DB3E39" w:rsidRDefault="00DB3E39" w:rsidP="00DB3E39">
            <w:pPr>
              <w:widowControl w:val="0"/>
              <w:autoSpaceDE w:val="0"/>
              <w:autoSpaceDN w:val="0"/>
              <w:adjustRightInd w:val="0"/>
              <w:ind w:right="768"/>
            </w:pPr>
            <w:r>
              <w:t>151 to 200</w:t>
            </w:r>
          </w:p>
        </w:tc>
        <w:tc>
          <w:tcPr>
            <w:tcW w:w="2679" w:type="dxa"/>
          </w:tcPr>
          <w:p w:rsidR="00DB3E39" w:rsidRDefault="00DB3E39" w:rsidP="00DB3E39">
            <w:pPr>
              <w:widowControl w:val="0"/>
              <w:autoSpaceDE w:val="0"/>
              <w:autoSpaceDN w:val="0"/>
              <w:adjustRightInd w:val="0"/>
              <w:ind w:right="-96"/>
              <w:jc w:val="center"/>
            </w:pPr>
            <w:r>
              <w:t>2</w:t>
            </w:r>
          </w:p>
        </w:tc>
      </w:tr>
      <w:tr w:rsidR="00DB3E39">
        <w:tblPrEx>
          <w:tblCellMar>
            <w:top w:w="0" w:type="dxa"/>
            <w:bottom w:w="0" w:type="dxa"/>
          </w:tblCellMar>
        </w:tblPrEx>
        <w:tc>
          <w:tcPr>
            <w:tcW w:w="3306" w:type="dxa"/>
          </w:tcPr>
          <w:p w:rsidR="00DB3E39" w:rsidRDefault="00DB3E39" w:rsidP="00DB3E39">
            <w:pPr>
              <w:widowControl w:val="0"/>
              <w:autoSpaceDE w:val="0"/>
              <w:autoSpaceDN w:val="0"/>
              <w:adjustRightInd w:val="0"/>
              <w:ind w:right="768"/>
            </w:pPr>
            <w:r>
              <w:t>201 to 300</w:t>
            </w:r>
          </w:p>
        </w:tc>
        <w:tc>
          <w:tcPr>
            <w:tcW w:w="2679" w:type="dxa"/>
          </w:tcPr>
          <w:p w:rsidR="00DB3E39" w:rsidRDefault="00DB3E39" w:rsidP="00DB3E39">
            <w:pPr>
              <w:widowControl w:val="0"/>
              <w:autoSpaceDE w:val="0"/>
              <w:autoSpaceDN w:val="0"/>
              <w:adjustRightInd w:val="0"/>
              <w:ind w:right="-96"/>
              <w:jc w:val="center"/>
            </w:pPr>
            <w:r>
              <w:t>3</w:t>
            </w:r>
          </w:p>
        </w:tc>
      </w:tr>
      <w:tr w:rsidR="00DB3E39">
        <w:tblPrEx>
          <w:tblCellMar>
            <w:top w:w="0" w:type="dxa"/>
            <w:bottom w:w="0" w:type="dxa"/>
          </w:tblCellMar>
        </w:tblPrEx>
        <w:tc>
          <w:tcPr>
            <w:tcW w:w="3306" w:type="dxa"/>
          </w:tcPr>
          <w:p w:rsidR="00DB3E39" w:rsidRDefault="00DB3E39" w:rsidP="00DB3E39">
            <w:pPr>
              <w:widowControl w:val="0"/>
              <w:autoSpaceDE w:val="0"/>
              <w:autoSpaceDN w:val="0"/>
              <w:adjustRightInd w:val="0"/>
              <w:ind w:right="768"/>
            </w:pPr>
            <w:r>
              <w:t>301 to 400</w:t>
            </w:r>
          </w:p>
        </w:tc>
        <w:tc>
          <w:tcPr>
            <w:tcW w:w="2679" w:type="dxa"/>
          </w:tcPr>
          <w:p w:rsidR="00DB3E39" w:rsidRDefault="00DB3E39" w:rsidP="00DB3E39">
            <w:pPr>
              <w:widowControl w:val="0"/>
              <w:autoSpaceDE w:val="0"/>
              <w:autoSpaceDN w:val="0"/>
              <w:adjustRightInd w:val="0"/>
              <w:ind w:right="-96"/>
              <w:jc w:val="center"/>
            </w:pPr>
            <w:r>
              <w:t>4</w:t>
            </w:r>
          </w:p>
        </w:tc>
      </w:tr>
      <w:tr w:rsidR="00DB3E39">
        <w:tblPrEx>
          <w:tblCellMar>
            <w:top w:w="0" w:type="dxa"/>
            <w:bottom w:w="0" w:type="dxa"/>
          </w:tblCellMar>
        </w:tblPrEx>
        <w:tc>
          <w:tcPr>
            <w:tcW w:w="3306" w:type="dxa"/>
          </w:tcPr>
          <w:p w:rsidR="00DB3E39" w:rsidRDefault="00DB3E39" w:rsidP="00DB3E39">
            <w:pPr>
              <w:widowControl w:val="0"/>
              <w:autoSpaceDE w:val="0"/>
              <w:autoSpaceDN w:val="0"/>
              <w:adjustRightInd w:val="0"/>
              <w:ind w:right="768"/>
            </w:pPr>
            <w:r>
              <w:t>401 to 500</w:t>
            </w:r>
          </w:p>
        </w:tc>
        <w:tc>
          <w:tcPr>
            <w:tcW w:w="2679" w:type="dxa"/>
          </w:tcPr>
          <w:p w:rsidR="00DB3E39" w:rsidRDefault="00DB3E39" w:rsidP="00DB3E39">
            <w:pPr>
              <w:widowControl w:val="0"/>
              <w:autoSpaceDE w:val="0"/>
              <w:autoSpaceDN w:val="0"/>
              <w:adjustRightInd w:val="0"/>
              <w:ind w:right="-96"/>
              <w:jc w:val="center"/>
            </w:pPr>
            <w:r>
              <w:t>4 plus one for each additional 100 over 400</w:t>
            </w:r>
          </w:p>
        </w:tc>
      </w:tr>
    </w:tbl>
    <w:p w:rsidR="00CA5311" w:rsidRDefault="00CA5311"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160" w:hanging="720"/>
      </w:pPr>
      <w:r>
        <w:t>3)</w:t>
      </w:r>
      <w:r>
        <w:tab/>
        <w:t xml:space="preserve">Sleeping Accommodations for Persons with Hearing Impairments.  In addition to those accessible sleeping rooms and suites required by subsection (g)(2) of this Section, sleeping rooms and suites that comply with subsection (g)(6) of this Section (Visual Alarms, Notification Devices, and Telephones) shall be provided in conformance with the following table: </w:t>
      </w:r>
    </w:p>
    <w:p w:rsidR="00CA5311" w:rsidRDefault="00CA5311" w:rsidP="00CA5311">
      <w:pPr>
        <w:widowControl w:val="0"/>
        <w:autoSpaceDE w:val="0"/>
        <w:autoSpaceDN w:val="0"/>
        <w:adjustRightInd w:val="0"/>
        <w:ind w:left="2160" w:hanging="720"/>
      </w:pPr>
    </w:p>
    <w:tbl>
      <w:tblPr>
        <w:tblW w:w="0" w:type="auto"/>
        <w:tblInd w:w="2532"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306"/>
        <w:gridCol w:w="2679"/>
      </w:tblGrid>
      <w:tr w:rsidR="00D16178">
        <w:tblPrEx>
          <w:tblCellMar>
            <w:top w:w="0" w:type="dxa"/>
            <w:bottom w:w="0" w:type="dxa"/>
          </w:tblCellMar>
        </w:tblPrEx>
        <w:tc>
          <w:tcPr>
            <w:tcW w:w="3306" w:type="dxa"/>
            <w:tcBorders>
              <w:top w:val="nil"/>
              <w:left w:val="nil"/>
              <w:bottom w:val="single" w:sz="4" w:space="0" w:color="auto"/>
              <w:right w:val="nil"/>
            </w:tcBorders>
          </w:tcPr>
          <w:p w:rsidR="00D16178" w:rsidRDefault="00D16178" w:rsidP="00D16178">
            <w:pPr>
              <w:widowControl w:val="0"/>
              <w:autoSpaceDE w:val="0"/>
              <w:autoSpaceDN w:val="0"/>
              <w:adjustRightInd w:val="0"/>
            </w:pPr>
            <w:r>
              <w:t>Number of Elements</w:t>
            </w:r>
          </w:p>
        </w:tc>
        <w:tc>
          <w:tcPr>
            <w:tcW w:w="2679" w:type="dxa"/>
            <w:tcBorders>
              <w:top w:val="nil"/>
              <w:left w:val="nil"/>
              <w:bottom w:val="single" w:sz="4" w:space="0" w:color="auto"/>
              <w:right w:val="nil"/>
            </w:tcBorders>
          </w:tcPr>
          <w:p w:rsidR="00D16178" w:rsidRDefault="00D16178" w:rsidP="00D16178">
            <w:pPr>
              <w:widowControl w:val="0"/>
              <w:autoSpaceDE w:val="0"/>
              <w:autoSpaceDN w:val="0"/>
              <w:adjustRightInd w:val="0"/>
              <w:ind w:left="-465" w:right="-471"/>
              <w:jc w:val="center"/>
            </w:pPr>
            <w:r>
              <w:t>Accessible Elements</w:t>
            </w:r>
          </w:p>
        </w:tc>
      </w:tr>
      <w:tr w:rsidR="00D16178">
        <w:tblPrEx>
          <w:tblCellMar>
            <w:top w:w="0" w:type="dxa"/>
            <w:bottom w:w="0" w:type="dxa"/>
          </w:tblCellMar>
        </w:tblPrEx>
        <w:trPr>
          <w:trHeight w:val="503"/>
        </w:trPr>
        <w:tc>
          <w:tcPr>
            <w:tcW w:w="3306" w:type="dxa"/>
            <w:tcBorders>
              <w:top w:val="single" w:sz="4" w:space="0" w:color="auto"/>
              <w:left w:val="nil"/>
              <w:bottom w:val="nil"/>
              <w:right w:val="nil"/>
            </w:tcBorders>
            <w:vAlign w:val="bottom"/>
          </w:tcPr>
          <w:p w:rsidR="00D16178" w:rsidRDefault="00D16178" w:rsidP="00D16178">
            <w:pPr>
              <w:widowControl w:val="0"/>
              <w:autoSpaceDE w:val="0"/>
              <w:autoSpaceDN w:val="0"/>
              <w:adjustRightInd w:val="0"/>
              <w:ind w:left="465"/>
            </w:pPr>
            <w:r>
              <w:t>1 to 25</w:t>
            </w:r>
          </w:p>
        </w:tc>
        <w:tc>
          <w:tcPr>
            <w:tcW w:w="2679" w:type="dxa"/>
            <w:tcBorders>
              <w:top w:val="single" w:sz="4" w:space="0" w:color="auto"/>
              <w:left w:val="nil"/>
              <w:bottom w:val="nil"/>
              <w:right w:val="nil"/>
            </w:tcBorders>
            <w:vAlign w:val="bottom"/>
          </w:tcPr>
          <w:p w:rsidR="00D16178" w:rsidRDefault="00D16178" w:rsidP="00D16178">
            <w:pPr>
              <w:widowControl w:val="0"/>
              <w:autoSpaceDE w:val="0"/>
              <w:autoSpaceDN w:val="0"/>
              <w:adjustRightInd w:val="0"/>
              <w:ind w:left="-465" w:right="-471"/>
              <w:jc w:val="center"/>
            </w:pPr>
            <w:r>
              <w:t>1</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26 to 50</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2</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51 to 75</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3</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76 to 100</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4</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101 to 150</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5</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151 to 200</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6</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201 to 300</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7</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301 to 400</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8</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401 to 500</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9</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501 to 1000</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2 % of total</w:t>
            </w:r>
          </w:p>
        </w:tc>
      </w:tr>
      <w:tr w:rsidR="00D16178">
        <w:tblPrEx>
          <w:tblCellMar>
            <w:top w:w="0" w:type="dxa"/>
            <w:bottom w:w="0" w:type="dxa"/>
          </w:tblCellMar>
        </w:tblPrEx>
        <w:tc>
          <w:tcPr>
            <w:tcW w:w="3306" w:type="dxa"/>
            <w:tcBorders>
              <w:top w:val="nil"/>
              <w:left w:val="nil"/>
              <w:bottom w:val="nil"/>
              <w:right w:val="nil"/>
            </w:tcBorders>
          </w:tcPr>
          <w:p w:rsidR="00D16178" w:rsidRDefault="00D16178" w:rsidP="00D16178">
            <w:pPr>
              <w:widowControl w:val="0"/>
              <w:autoSpaceDE w:val="0"/>
              <w:autoSpaceDN w:val="0"/>
              <w:adjustRightInd w:val="0"/>
              <w:ind w:left="465"/>
            </w:pPr>
            <w:r>
              <w:t>1001 and over</w:t>
            </w:r>
          </w:p>
        </w:tc>
        <w:tc>
          <w:tcPr>
            <w:tcW w:w="2679" w:type="dxa"/>
            <w:tcBorders>
              <w:top w:val="nil"/>
              <w:left w:val="nil"/>
              <w:bottom w:val="nil"/>
              <w:right w:val="nil"/>
            </w:tcBorders>
          </w:tcPr>
          <w:p w:rsidR="00D16178" w:rsidRDefault="00D16178" w:rsidP="00D16178">
            <w:pPr>
              <w:widowControl w:val="0"/>
              <w:autoSpaceDE w:val="0"/>
              <w:autoSpaceDN w:val="0"/>
              <w:adjustRightInd w:val="0"/>
              <w:ind w:left="-465" w:right="-471"/>
              <w:jc w:val="center"/>
            </w:pPr>
            <w:r>
              <w:t>20 plus 1 for each</w:t>
            </w:r>
          </w:p>
          <w:p w:rsidR="00D16178" w:rsidRDefault="00D16178" w:rsidP="00D16178">
            <w:pPr>
              <w:widowControl w:val="0"/>
              <w:autoSpaceDE w:val="0"/>
              <w:autoSpaceDN w:val="0"/>
              <w:adjustRightInd w:val="0"/>
              <w:ind w:left="-465" w:right="-471"/>
              <w:jc w:val="center"/>
            </w:pPr>
            <w:r>
              <w:t>100 over 1000</w:t>
            </w:r>
          </w:p>
        </w:tc>
      </w:tr>
      <w:tr w:rsidR="00D16178">
        <w:tblPrEx>
          <w:tblCellMar>
            <w:top w:w="0" w:type="dxa"/>
            <w:bottom w:w="0" w:type="dxa"/>
          </w:tblCellMar>
        </w:tblPrEx>
        <w:trPr>
          <w:trHeight w:val="540"/>
        </w:trPr>
        <w:tc>
          <w:tcPr>
            <w:tcW w:w="3306" w:type="dxa"/>
            <w:tcBorders>
              <w:top w:val="nil"/>
              <w:left w:val="nil"/>
              <w:bottom w:val="nil"/>
              <w:right w:val="nil"/>
            </w:tcBorders>
            <w:vAlign w:val="bottom"/>
          </w:tcPr>
          <w:p w:rsidR="00D16178" w:rsidRDefault="00D16178" w:rsidP="00D16178">
            <w:pPr>
              <w:widowControl w:val="0"/>
              <w:autoSpaceDE w:val="0"/>
              <w:autoSpaceDN w:val="0"/>
              <w:adjustRightInd w:val="0"/>
            </w:pPr>
          </w:p>
        </w:tc>
        <w:tc>
          <w:tcPr>
            <w:tcW w:w="2679" w:type="dxa"/>
            <w:tcBorders>
              <w:top w:val="nil"/>
              <w:left w:val="nil"/>
              <w:bottom w:val="nil"/>
              <w:right w:val="nil"/>
            </w:tcBorders>
            <w:vAlign w:val="bottom"/>
          </w:tcPr>
          <w:p w:rsidR="00D16178" w:rsidRDefault="00D16178" w:rsidP="00D16178">
            <w:pPr>
              <w:widowControl w:val="0"/>
              <w:autoSpaceDE w:val="0"/>
              <w:autoSpaceDN w:val="0"/>
              <w:adjustRightInd w:val="0"/>
              <w:ind w:left="-465" w:right="-471"/>
              <w:jc w:val="center"/>
            </w:pPr>
            <w:r>
              <w:t>(ADAAG 9.1.3)</w:t>
            </w:r>
          </w:p>
        </w:tc>
      </w:tr>
    </w:tbl>
    <w:p w:rsidR="00CA5311" w:rsidRDefault="00CA5311"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4)</w:t>
      </w:r>
      <w:r>
        <w:tab/>
        <w:t xml:space="preserve">Classes of Sleeping Accommodations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In order to provide persons with disabilities a range of options equivalent to those available to other persons served by the facility, sleeping rooms and suites required to be accessible by subsection (g)(2) of this Section shall be dispersed among the various classes of sleeping accommodations available to patrons of the place of transient lodging.  Factors to be considered include room size, cost, amenities provided, and the number of beds provided.  (ADAAG 9.1.4(1))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B)</w:t>
      </w:r>
      <w:r>
        <w:tab/>
        <w:t xml:space="preserve">Equivalent Facilitation.  For purposes of this Section, it shall be deemed equivalent facilitation if the operator of a facility elects to limit construction of accessible rooms to those intended for multiple occupancy, provided that such rooms are made available at the cost of a single-occupancy room to an individual with disabilities who requires a single-occupancy room. (ADAAG 9.1.4(2))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5)</w:t>
      </w:r>
      <w:r>
        <w:tab/>
        <w:t xml:space="preserve">Minimum Requirements for Accessible Lodging Units. Accessible lodging units shall comply with the following space requirements: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An accessible lodging unit, sleeping room or suite shall be on an accessible route complying with Section 400.310(a) and have the following accessible elements and spaces.  (ADAAG 9.2.2)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proofErr w:type="spellStart"/>
      <w:r>
        <w:t>i</w:t>
      </w:r>
      <w:proofErr w:type="spellEnd"/>
      <w:r>
        <w:t>)</w:t>
      </w:r>
      <w:r>
        <w:tab/>
        <w:t xml:space="preserve">Accessible sleeping rooms shall have a 36 in. (915 mm) clear width maneuvering space located along both sides of a bed, except that where two beds are provided, this requirement can be met by providing a 36 in. (915 mm) wide maneuvering space located between the two beds.  (ADAAG 9.2.2(1))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r>
        <w:t>ii)</w:t>
      </w:r>
      <w:r>
        <w:tab/>
        <w:t xml:space="preserve">An accessible route complying with Section 400.310(a) shall connect all accessible spaces and elements, including telephones, within the unit, sleeping room, or suite.  (Excerpt from ADAAG 9.2.2(2))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r>
        <w:t>iii)</w:t>
      </w:r>
      <w:r>
        <w:tab/>
        <w:t xml:space="preserve">Doors and doorways designed to allow passage into and within all sleeping rooms, suites or other covered units shall comply with Section 400.310(j).  (ADAAG 9.2.2(3))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r>
        <w:t>iv)</w:t>
      </w:r>
      <w:r>
        <w:tab/>
        <w:t xml:space="preserve">If fixed or built-in storage facilities such as cabinets, shelves, closets, and drawers are provided in accessible spaces, at least one of each type provided shall contain storage space complying with Section 400.310(p). Additional storage may be provided outside of the dimensions required by Section 400.310(p).  (ADAAG 9.2.2(4))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r>
        <w:t>v)</w:t>
      </w:r>
      <w:r>
        <w:tab/>
        <w:t xml:space="preserve">All controls in accessible units, sleeping rooms, and suites shall comply with Section 400.310(r).  (ADAAG 9.2.2(5))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r>
        <w:t>vi)</w:t>
      </w:r>
      <w:r>
        <w:tab/>
        <w:t xml:space="preserve">Where provided as part of an accessible unit, sleeping room, or suite, the following spaces shall be accessible and shall be on an accessible route: </w:t>
      </w:r>
    </w:p>
    <w:p w:rsidR="00D16178" w:rsidRDefault="00D16178" w:rsidP="00CA5311">
      <w:pPr>
        <w:widowControl w:val="0"/>
        <w:autoSpaceDE w:val="0"/>
        <w:autoSpaceDN w:val="0"/>
        <w:adjustRightInd w:val="0"/>
        <w:ind w:left="3600" w:hanging="720"/>
      </w:pPr>
    </w:p>
    <w:p w:rsidR="00CA5311" w:rsidRDefault="00CA5311" w:rsidP="00D16178">
      <w:pPr>
        <w:widowControl w:val="0"/>
        <w:autoSpaceDE w:val="0"/>
        <w:autoSpaceDN w:val="0"/>
        <w:adjustRightInd w:val="0"/>
        <w:ind w:left="4320"/>
      </w:pPr>
      <w:r>
        <w:t xml:space="preserve">the living area; </w:t>
      </w:r>
    </w:p>
    <w:p w:rsidR="00D16178" w:rsidRDefault="00D16178" w:rsidP="00D16178">
      <w:pPr>
        <w:widowControl w:val="0"/>
        <w:autoSpaceDE w:val="0"/>
        <w:autoSpaceDN w:val="0"/>
        <w:adjustRightInd w:val="0"/>
        <w:ind w:left="4320"/>
      </w:pPr>
    </w:p>
    <w:p w:rsidR="00D16178" w:rsidRDefault="00CA5311" w:rsidP="00D16178">
      <w:pPr>
        <w:widowControl w:val="0"/>
        <w:autoSpaceDE w:val="0"/>
        <w:autoSpaceDN w:val="0"/>
        <w:adjustRightInd w:val="0"/>
        <w:ind w:left="4320"/>
      </w:pPr>
      <w:r>
        <w:t>the dining area;</w:t>
      </w:r>
    </w:p>
    <w:p w:rsidR="00CA5311" w:rsidRDefault="00CA5311" w:rsidP="00D16178">
      <w:pPr>
        <w:widowControl w:val="0"/>
        <w:autoSpaceDE w:val="0"/>
        <w:autoSpaceDN w:val="0"/>
        <w:adjustRightInd w:val="0"/>
        <w:ind w:left="4320"/>
      </w:pPr>
      <w:r>
        <w:t xml:space="preserve"> </w:t>
      </w:r>
    </w:p>
    <w:p w:rsidR="00CA5311" w:rsidRDefault="00CA5311" w:rsidP="00D16178">
      <w:pPr>
        <w:widowControl w:val="0"/>
        <w:autoSpaceDE w:val="0"/>
        <w:autoSpaceDN w:val="0"/>
        <w:adjustRightInd w:val="0"/>
        <w:ind w:left="4320"/>
      </w:pPr>
      <w:r>
        <w:t xml:space="preserve">at least one sleeping area; </w:t>
      </w:r>
    </w:p>
    <w:p w:rsidR="00D16178" w:rsidRDefault="00D16178" w:rsidP="00D16178">
      <w:pPr>
        <w:widowControl w:val="0"/>
        <w:autoSpaceDE w:val="0"/>
        <w:autoSpaceDN w:val="0"/>
        <w:adjustRightInd w:val="0"/>
        <w:ind w:left="4320"/>
      </w:pPr>
    </w:p>
    <w:p w:rsidR="00CA5311" w:rsidRDefault="00CA5311" w:rsidP="00D16178">
      <w:pPr>
        <w:widowControl w:val="0"/>
        <w:autoSpaceDE w:val="0"/>
        <w:autoSpaceDN w:val="0"/>
        <w:adjustRightInd w:val="0"/>
        <w:ind w:left="4320"/>
      </w:pPr>
      <w:r>
        <w:t xml:space="preserve">patios, terraces, or balconies </w:t>
      </w:r>
    </w:p>
    <w:p w:rsidR="00D16178" w:rsidRDefault="00D16178" w:rsidP="00D16178">
      <w:pPr>
        <w:widowControl w:val="0"/>
        <w:autoSpaceDE w:val="0"/>
        <w:autoSpaceDN w:val="0"/>
        <w:adjustRightInd w:val="0"/>
        <w:ind w:left="4320"/>
      </w:pPr>
    </w:p>
    <w:p w:rsidR="00CA5311" w:rsidRDefault="00CA5311" w:rsidP="00D16178">
      <w:pPr>
        <w:widowControl w:val="0"/>
        <w:autoSpaceDE w:val="0"/>
        <w:autoSpaceDN w:val="0"/>
        <w:adjustRightInd w:val="0"/>
        <w:ind w:left="4320"/>
      </w:pPr>
      <w:r>
        <w:t xml:space="preserve">EXCEPTION:  The requirements of Section 400.310(j)(7) and Section 400.310(a)(7) do not apply where it is necessary to utilize a higher door threshold or a change in level to protect the integrity of the unit from wind/water damage.  Where this exception results in patios, terraces or balconies that are not at an accessible level, equivalent facilitation shall be provided (e.g., equivalent facilitation at a hotel patio or balcony might consist of providing raised decking or a ramp to provide accessibility); </w:t>
      </w:r>
    </w:p>
    <w:p w:rsidR="00D16178" w:rsidRDefault="00D16178" w:rsidP="00D16178">
      <w:pPr>
        <w:widowControl w:val="0"/>
        <w:autoSpaceDE w:val="0"/>
        <w:autoSpaceDN w:val="0"/>
        <w:adjustRightInd w:val="0"/>
        <w:ind w:left="4320"/>
      </w:pPr>
    </w:p>
    <w:p w:rsidR="00CA5311" w:rsidRDefault="00CA5311" w:rsidP="00D16178">
      <w:pPr>
        <w:widowControl w:val="0"/>
        <w:autoSpaceDE w:val="0"/>
        <w:autoSpaceDN w:val="0"/>
        <w:adjustRightInd w:val="0"/>
        <w:ind w:left="4320"/>
      </w:pPr>
      <w:r>
        <w:t xml:space="preserve">at least one full bathroom (i.e., one with a water closet, a lavatory, and a bathtub or shower); </w:t>
      </w:r>
    </w:p>
    <w:p w:rsidR="00D16178" w:rsidRDefault="00D16178" w:rsidP="00D16178">
      <w:pPr>
        <w:widowControl w:val="0"/>
        <w:autoSpaceDE w:val="0"/>
        <w:autoSpaceDN w:val="0"/>
        <w:adjustRightInd w:val="0"/>
        <w:ind w:left="4320"/>
      </w:pPr>
    </w:p>
    <w:p w:rsidR="00CA5311" w:rsidRDefault="00CA5311" w:rsidP="00D16178">
      <w:pPr>
        <w:widowControl w:val="0"/>
        <w:autoSpaceDE w:val="0"/>
        <w:autoSpaceDN w:val="0"/>
        <w:adjustRightInd w:val="0"/>
        <w:ind w:left="4320"/>
      </w:pPr>
      <w:r>
        <w:t xml:space="preserve">if only half baths are provided, at least one half bath; and </w:t>
      </w:r>
    </w:p>
    <w:p w:rsidR="00D16178" w:rsidRDefault="00D16178" w:rsidP="00D16178">
      <w:pPr>
        <w:widowControl w:val="0"/>
        <w:autoSpaceDE w:val="0"/>
        <w:autoSpaceDN w:val="0"/>
        <w:adjustRightInd w:val="0"/>
        <w:ind w:left="4320"/>
      </w:pPr>
    </w:p>
    <w:p w:rsidR="00CA5311" w:rsidRDefault="00CA5311" w:rsidP="00D16178">
      <w:pPr>
        <w:widowControl w:val="0"/>
        <w:autoSpaceDE w:val="0"/>
        <w:autoSpaceDN w:val="0"/>
        <w:adjustRightInd w:val="0"/>
        <w:ind w:left="4320"/>
      </w:pPr>
      <w:r>
        <w:t xml:space="preserve">carports, garages or parking spaces. (ADAAG 9.2.2(6)) </w:t>
      </w:r>
    </w:p>
    <w:p w:rsidR="00D16178" w:rsidRDefault="00D16178" w:rsidP="00D16178">
      <w:pPr>
        <w:widowControl w:val="0"/>
        <w:autoSpaceDE w:val="0"/>
        <w:autoSpaceDN w:val="0"/>
        <w:adjustRightInd w:val="0"/>
        <w:ind w:left="4320"/>
      </w:pPr>
    </w:p>
    <w:p w:rsidR="00CA5311" w:rsidRDefault="00CA5311" w:rsidP="00CA5311">
      <w:pPr>
        <w:widowControl w:val="0"/>
        <w:autoSpaceDE w:val="0"/>
        <w:autoSpaceDN w:val="0"/>
        <w:adjustRightInd w:val="0"/>
        <w:ind w:left="3600" w:hanging="720"/>
      </w:pPr>
      <w:r>
        <w:t>vii)</w:t>
      </w:r>
      <w:r>
        <w:tab/>
        <w:t xml:space="preserve">Kitchens, Kitchenettes, or Wet Bars.  When provided as accessory to a sleeping room or suite, kitchens, kitchenettes, wet bars, or similar amenities shall be accessible.  Clear floor space for a front or parallel approach to cabinets, counters, sinks, and appliances shall be provided to comply with Section 400.220(d).  Countertops and sinks shall be mounted at a maximum height of 34 in. (865 mm) above the floor.  At least 50% of shelf space in cabinets or refrigerator/freezers shall be within the reach ranges of Section 400.220(e) or (f) and space shall be designed to allow for the operation of cabinet and/or appliance doors so that all cabinets and appliances are accessible and usable. Controls and operating mechanisms shall comply with Section 400.310(r). (ADAAG 9.2.2(7))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r>
        <w:t>viii)</w:t>
      </w:r>
      <w:r>
        <w:tab/>
        <w:t xml:space="preserve">Sleeping room accommodations for persons with hearing impairments required by subsection (g)(3) of this Section and complying with subsection (g)(6) of this Section shall be provided in the accessible sleeping room or suite. (ADAAG 9.2.2(8))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6)</w:t>
      </w:r>
      <w:r>
        <w:tab/>
        <w:t xml:space="preserve">Visual Alarms, Notification Devices and Telephones in Sleeping Rooms.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General.  In sleeping rooms required to comply with this Section, auxiliary visual alarms shall be provided and shall comply with Section 400.310(s)(4).  Visual notification devices shall also be provided in units, sleeping rooms and suites to alert room occupants of incoming telephone calls and a door knock or bell.  Notification devices shall not be connected to auxiliary visual alarm signal appliances.  Permanently installed telephones shall have volume controls complying with Section 400.310(v)(5); an accessible electrical outlet within 4 ft (1220 mm) of a telephone connection shall be provided to facilitate the use of a text telephone.  (ADAAG 9.3.1)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B)</w:t>
      </w:r>
      <w:r>
        <w:tab/>
        <w:t xml:space="preserve">Equivalent Facilitation.  For purposes of this Section, equivalent facilitation shall include the installation of electrical outlets (including outlets connected to a facility's central alarm system) and telephone wiring in sleeping rooms and suites to enable persons with hearing impairments to utilize portable visual alarms and communication devices provided by the operator of the facility.  (ADAAG 9.3.2)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7)</w:t>
      </w:r>
      <w:r>
        <w:tab/>
        <w:t xml:space="preserve">Other Sleeping Rooms and Suites.  Doors and doorways designed to allow passage into and within all sleeping units or other covered units shall comply with Section 400.310(j)(4).  (ADAAG 9.4)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8)</w:t>
      </w:r>
      <w:r>
        <w:tab/>
        <w:t>Multi-Bed Facilities.  In transient lodging facilities with multi-bed rooms or spaces, 5% of the beds shall comply with subsection (g)(5)(A)(</w:t>
      </w:r>
      <w:proofErr w:type="spellStart"/>
      <w:r>
        <w:t>i</w:t>
      </w:r>
      <w:proofErr w:type="spellEnd"/>
      <w:r>
        <w:t xml:space="preserve">) of this Section.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9)</w:t>
      </w:r>
      <w:r>
        <w:tab/>
        <w:t xml:space="preserve">Common Use Restrooms.  If common use restrooms and shower rooms are provided in lieu of private bathrooms in each accessible lodging unit, such facilities shall be located on an accessible route and the rooms shall comply with the applicable subsections of Sections 400.310(n) and (o). </w:t>
      </w:r>
    </w:p>
    <w:p w:rsidR="00DF677A" w:rsidRDefault="00DF677A" w:rsidP="00D16178">
      <w:pPr>
        <w:widowControl w:val="0"/>
        <w:autoSpaceDE w:val="0"/>
        <w:autoSpaceDN w:val="0"/>
        <w:adjustRightInd w:val="0"/>
        <w:ind w:left="2160" w:hanging="849"/>
      </w:pPr>
    </w:p>
    <w:p w:rsidR="00CA5311" w:rsidRDefault="00CA5311" w:rsidP="00D16178">
      <w:pPr>
        <w:widowControl w:val="0"/>
        <w:autoSpaceDE w:val="0"/>
        <w:autoSpaceDN w:val="0"/>
        <w:adjustRightInd w:val="0"/>
        <w:ind w:left="2160" w:hanging="849"/>
      </w:pPr>
      <w:r>
        <w:t>10)</w:t>
      </w:r>
      <w:r>
        <w:tab/>
        <w:t xml:space="preserve">Alarms in Common Areas.  A permanent audible and visual warning system complying with Section 400.310(s)(2) through  (4) shall be provided in all public use and common use areas of lodging buildings.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h)</w:t>
      </w:r>
      <w:r>
        <w:tab/>
        <w:t xml:space="preserve">Business and Mercantile </w:t>
      </w:r>
    </w:p>
    <w:p w:rsidR="00CA5311" w:rsidRDefault="00CA5311" w:rsidP="00CA5311">
      <w:pPr>
        <w:widowControl w:val="0"/>
        <w:autoSpaceDE w:val="0"/>
        <w:autoSpaceDN w:val="0"/>
        <w:adjustRightInd w:val="0"/>
        <w:ind w:left="1440" w:hanging="720"/>
      </w:pPr>
      <w:r>
        <w:tab/>
        <w:t xml:space="preserve">The design of all areas used for business transactions with the public shall comply with Section 400.310 and the following requirements: (ADAAG 7.1)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Sales and Service Counters, Teller Windows, Information Counters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In department stores and miscellaneous retail stores where counters have cash registers and are provided for sales or distribution of goods or services to the public, at least one of each type shall have a portion of the counter which is at least 36 in. (915 mm) in length with a maximum height of 34 in. (865 mm) above the finish floor.  It shall be on an accessible route complying with Section 400.310(a). The accessible counters must be dispersed throughout the building or facility.  (For the treatment of service counters in alterations, see Section 400.510(e)(6).)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B)</w:t>
      </w:r>
      <w:r>
        <w:tab/>
        <w:t xml:space="preserve">At ticketing counters, teller stations in a bank, registration counters in hotels and motels, box office ticket counters, and other counters that may not have a cash register, but at which goods or services are sold or distributed, either: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proofErr w:type="spellStart"/>
      <w:r>
        <w:t>i</w:t>
      </w:r>
      <w:proofErr w:type="spellEnd"/>
      <w:r>
        <w:t>)</w:t>
      </w:r>
      <w:r>
        <w:tab/>
        <w:t xml:space="preserve">a portion of the main counter which is a minimum of 36 in. (865 mm) in length shall be provided with a maximum height of 34 in. (865 mm); or </w:t>
      </w:r>
    </w:p>
    <w:p w:rsidR="00DF677A" w:rsidRDefault="00DF677A" w:rsidP="00CA5311">
      <w:pPr>
        <w:widowControl w:val="0"/>
        <w:autoSpaceDE w:val="0"/>
        <w:autoSpaceDN w:val="0"/>
        <w:adjustRightInd w:val="0"/>
        <w:ind w:left="3600" w:hanging="720"/>
      </w:pPr>
    </w:p>
    <w:p w:rsidR="00CA5311" w:rsidRDefault="00CA5311" w:rsidP="00CA5311">
      <w:pPr>
        <w:widowControl w:val="0"/>
        <w:autoSpaceDE w:val="0"/>
        <w:autoSpaceDN w:val="0"/>
        <w:adjustRightInd w:val="0"/>
        <w:ind w:left="3600" w:hanging="720"/>
      </w:pPr>
      <w:r>
        <w:t>ii)</w:t>
      </w:r>
      <w:r>
        <w:tab/>
        <w:t xml:space="preserve">an auxiliary counter with a maximum height of 34 in. (865 mm) in close proximity to the main counter shall be provided. </w:t>
      </w:r>
    </w:p>
    <w:p w:rsidR="00DF677A" w:rsidRDefault="00DF677A" w:rsidP="00D16178">
      <w:pPr>
        <w:widowControl w:val="0"/>
        <w:autoSpaceDE w:val="0"/>
        <w:autoSpaceDN w:val="0"/>
        <w:adjustRightInd w:val="0"/>
        <w:ind w:left="2880"/>
      </w:pPr>
    </w:p>
    <w:p w:rsidR="00CA5311" w:rsidRDefault="00CA5311" w:rsidP="00D16178">
      <w:pPr>
        <w:widowControl w:val="0"/>
        <w:autoSpaceDE w:val="0"/>
        <w:autoSpaceDN w:val="0"/>
        <w:adjustRightInd w:val="0"/>
        <w:ind w:left="2880"/>
      </w:pPr>
      <w:r>
        <w:t xml:space="preserve">All accessible sales and service counters shall be on an accessible route complying with Section 400.310(a). </w:t>
      </w:r>
    </w:p>
    <w:p w:rsidR="00CA5311" w:rsidRDefault="00CA5311" w:rsidP="00CA5311">
      <w:pPr>
        <w:widowControl w:val="0"/>
        <w:autoSpaceDE w:val="0"/>
        <w:autoSpaceDN w:val="0"/>
        <w:adjustRightInd w:val="0"/>
        <w:ind w:left="2880" w:hanging="720"/>
      </w:pPr>
      <w:r>
        <w:t>C)</w:t>
      </w:r>
      <w:r>
        <w:tab/>
        <w:t xml:space="preserve">Assistive Listening Devices (Reserved).  (ADAAG 7.2)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Check-out Aisles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Accessible check-out aisles shall be provided in conformance with the table below: </w:t>
      </w:r>
    </w:p>
    <w:p w:rsidR="00CA5311" w:rsidRDefault="00CA5311" w:rsidP="00CA5311">
      <w:pPr>
        <w:widowControl w:val="0"/>
        <w:autoSpaceDE w:val="0"/>
        <w:autoSpaceDN w:val="0"/>
        <w:adjustRightInd w:val="0"/>
        <w:ind w:left="2880" w:hanging="720"/>
      </w:pPr>
    </w:p>
    <w:tbl>
      <w:tblPr>
        <w:tblW w:w="0" w:type="auto"/>
        <w:tblInd w:w="2217" w:type="dxa"/>
        <w:tblLook w:val="0000" w:firstRow="0" w:lastRow="0" w:firstColumn="0" w:lastColumn="0" w:noHBand="0" w:noVBand="0"/>
      </w:tblPr>
      <w:tblGrid>
        <w:gridCol w:w="3762"/>
        <w:gridCol w:w="3597"/>
      </w:tblGrid>
      <w:tr w:rsidR="00D16178">
        <w:tblPrEx>
          <w:tblCellMar>
            <w:top w:w="0" w:type="dxa"/>
            <w:bottom w:w="0" w:type="dxa"/>
          </w:tblCellMar>
        </w:tblPrEx>
        <w:tc>
          <w:tcPr>
            <w:tcW w:w="3762" w:type="dxa"/>
            <w:vAlign w:val="bottom"/>
          </w:tcPr>
          <w:p w:rsidR="00D16178" w:rsidRDefault="00D16178" w:rsidP="00D16178">
            <w:pPr>
              <w:widowControl w:val="0"/>
              <w:autoSpaceDE w:val="0"/>
              <w:autoSpaceDN w:val="0"/>
              <w:adjustRightInd w:val="0"/>
              <w:jc w:val="center"/>
            </w:pPr>
            <w:r>
              <w:t>TOTAL CHECK-OUT AISLES</w:t>
            </w:r>
          </w:p>
          <w:p w:rsidR="00D16178" w:rsidRDefault="00D16178" w:rsidP="00D16178">
            <w:pPr>
              <w:widowControl w:val="0"/>
              <w:autoSpaceDE w:val="0"/>
              <w:autoSpaceDN w:val="0"/>
              <w:adjustRightInd w:val="0"/>
              <w:jc w:val="center"/>
            </w:pPr>
            <w:r>
              <w:t>OF EACH DESIGN</w:t>
            </w:r>
          </w:p>
        </w:tc>
        <w:tc>
          <w:tcPr>
            <w:tcW w:w="3597" w:type="dxa"/>
            <w:vAlign w:val="bottom"/>
          </w:tcPr>
          <w:p w:rsidR="00D16178" w:rsidRDefault="00D16178" w:rsidP="00D16178">
            <w:pPr>
              <w:widowControl w:val="0"/>
              <w:autoSpaceDE w:val="0"/>
              <w:autoSpaceDN w:val="0"/>
              <w:adjustRightInd w:val="0"/>
              <w:jc w:val="center"/>
            </w:pPr>
            <w:r>
              <w:t>MINIMUM NUMBER OF ACCESSIBLE CHECK-OUT AISLES (OF EACH DESIGN)</w:t>
            </w:r>
          </w:p>
        </w:tc>
      </w:tr>
      <w:tr w:rsidR="00D16178">
        <w:tblPrEx>
          <w:tblCellMar>
            <w:top w:w="0" w:type="dxa"/>
            <w:bottom w:w="0" w:type="dxa"/>
          </w:tblCellMar>
        </w:tblPrEx>
        <w:trPr>
          <w:trHeight w:val="477"/>
        </w:trPr>
        <w:tc>
          <w:tcPr>
            <w:tcW w:w="3762" w:type="dxa"/>
            <w:vAlign w:val="bottom"/>
          </w:tcPr>
          <w:p w:rsidR="00D16178" w:rsidRDefault="00D16178" w:rsidP="00D16178">
            <w:pPr>
              <w:widowControl w:val="0"/>
              <w:autoSpaceDE w:val="0"/>
              <w:autoSpaceDN w:val="0"/>
              <w:adjustRightInd w:val="0"/>
              <w:jc w:val="center"/>
            </w:pPr>
            <w:r>
              <w:t>1-4</w:t>
            </w:r>
          </w:p>
        </w:tc>
        <w:tc>
          <w:tcPr>
            <w:tcW w:w="3597" w:type="dxa"/>
            <w:vAlign w:val="bottom"/>
          </w:tcPr>
          <w:p w:rsidR="00D16178" w:rsidRDefault="00D16178" w:rsidP="00D16178">
            <w:pPr>
              <w:widowControl w:val="0"/>
              <w:autoSpaceDE w:val="0"/>
              <w:autoSpaceDN w:val="0"/>
              <w:adjustRightInd w:val="0"/>
              <w:jc w:val="center"/>
            </w:pPr>
            <w:r>
              <w:t>1</w:t>
            </w:r>
          </w:p>
        </w:tc>
      </w:tr>
      <w:tr w:rsidR="00D16178">
        <w:tblPrEx>
          <w:tblCellMar>
            <w:top w:w="0" w:type="dxa"/>
            <w:bottom w:w="0" w:type="dxa"/>
          </w:tblCellMar>
        </w:tblPrEx>
        <w:tc>
          <w:tcPr>
            <w:tcW w:w="3762" w:type="dxa"/>
            <w:vAlign w:val="bottom"/>
          </w:tcPr>
          <w:p w:rsidR="00D16178" w:rsidRDefault="00D16178" w:rsidP="00D16178">
            <w:pPr>
              <w:widowControl w:val="0"/>
              <w:autoSpaceDE w:val="0"/>
              <w:autoSpaceDN w:val="0"/>
              <w:adjustRightInd w:val="0"/>
              <w:jc w:val="center"/>
            </w:pPr>
            <w:r>
              <w:t>5-8</w:t>
            </w:r>
          </w:p>
        </w:tc>
        <w:tc>
          <w:tcPr>
            <w:tcW w:w="3597" w:type="dxa"/>
            <w:vAlign w:val="bottom"/>
          </w:tcPr>
          <w:p w:rsidR="00D16178" w:rsidRDefault="00D16178" w:rsidP="00D16178">
            <w:pPr>
              <w:widowControl w:val="0"/>
              <w:autoSpaceDE w:val="0"/>
              <w:autoSpaceDN w:val="0"/>
              <w:adjustRightInd w:val="0"/>
              <w:jc w:val="center"/>
            </w:pPr>
            <w:r>
              <w:t>2</w:t>
            </w:r>
          </w:p>
        </w:tc>
      </w:tr>
      <w:tr w:rsidR="00D16178">
        <w:tblPrEx>
          <w:tblCellMar>
            <w:top w:w="0" w:type="dxa"/>
            <w:bottom w:w="0" w:type="dxa"/>
          </w:tblCellMar>
        </w:tblPrEx>
        <w:tc>
          <w:tcPr>
            <w:tcW w:w="3762" w:type="dxa"/>
            <w:vAlign w:val="bottom"/>
          </w:tcPr>
          <w:p w:rsidR="00D16178" w:rsidRDefault="00D16178" w:rsidP="00D16178">
            <w:pPr>
              <w:widowControl w:val="0"/>
              <w:autoSpaceDE w:val="0"/>
              <w:autoSpaceDN w:val="0"/>
              <w:adjustRightInd w:val="0"/>
              <w:jc w:val="center"/>
            </w:pPr>
            <w:r>
              <w:t>9-15</w:t>
            </w:r>
          </w:p>
        </w:tc>
        <w:tc>
          <w:tcPr>
            <w:tcW w:w="3597" w:type="dxa"/>
            <w:vAlign w:val="bottom"/>
          </w:tcPr>
          <w:p w:rsidR="00D16178" w:rsidRDefault="00D16178" w:rsidP="00D16178">
            <w:pPr>
              <w:widowControl w:val="0"/>
              <w:autoSpaceDE w:val="0"/>
              <w:autoSpaceDN w:val="0"/>
              <w:adjustRightInd w:val="0"/>
              <w:jc w:val="center"/>
            </w:pPr>
            <w:r>
              <w:t>3</w:t>
            </w:r>
          </w:p>
        </w:tc>
      </w:tr>
      <w:tr w:rsidR="00D16178">
        <w:tblPrEx>
          <w:tblCellMar>
            <w:top w:w="0" w:type="dxa"/>
            <w:bottom w:w="0" w:type="dxa"/>
          </w:tblCellMar>
        </w:tblPrEx>
        <w:tc>
          <w:tcPr>
            <w:tcW w:w="3762" w:type="dxa"/>
            <w:vAlign w:val="bottom"/>
          </w:tcPr>
          <w:p w:rsidR="00D16178" w:rsidRDefault="00D16178" w:rsidP="00D16178">
            <w:pPr>
              <w:widowControl w:val="0"/>
              <w:autoSpaceDE w:val="0"/>
              <w:autoSpaceDN w:val="0"/>
              <w:adjustRightInd w:val="0"/>
              <w:jc w:val="center"/>
            </w:pPr>
            <w:r>
              <w:t>Over 15</w:t>
            </w:r>
          </w:p>
        </w:tc>
        <w:tc>
          <w:tcPr>
            <w:tcW w:w="3597" w:type="dxa"/>
            <w:vAlign w:val="bottom"/>
          </w:tcPr>
          <w:p w:rsidR="00D16178" w:rsidRDefault="00D16178" w:rsidP="00D16178">
            <w:pPr>
              <w:widowControl w:val="0"/>
              <w:autoSpaceDE w:val="0"/>
              <w:autoSpaceDN w:val="0"/>
              <w:adjustRightInd w:val="0"/>
              <w:jc w:val="center"/>
            </w:pPr>
            <w:r>
              <w:t>3, plus 20% of additional aisles</w:t>
            </w:r>
          </w:p>
        </w:tc>
      </w:tr>
    </w:tbl>
    <w:p w:rsidR="00CA5311" w:rsidRDefault="00CA5311" w:rsidP="00CA5311">
      <w:pPr>
        <w:widowControl w:val="0"/>
        <w:autoSpaceDE w:val="0"/>
        <w:autoSpaceDN w:val="0"/>
        <w:adjustRightInd w:val="0"/>
        <w:ind w:left="2880" w:hanging="720"/>
      </w:pPr>
    </w:p>
    <w:p w:rsidR="00CA5311" w:rsidRDefault="00CA5311" w:rsidP="00D16178">
      <w:pPr>
        <w:widowControl w:val="0"/>
        <w:autoSpaceDE w:val="0"/>
        <w:autoSpaceDN w:val="0"/>
        <w:adjustRightInd w:val="0"/>
        <w:ind w:left="2160"/>
      </w:pPr>
      <w:r>
        <w:t xml:space="preserve">EXCEPTION:  In new construction, where the selling space is under 5000 square feet, only one check-out aisle is required to be accessible.  (For alterations, see Section 400.510(e)(7).) </w:t>
      </w:r>
    </w:p>
    <w:p w:rsidR="00D16178" w:rsidRDefault="00D16178" w:rsidP="00D16178">
      <w:pPr>
        <w:widowControl w:val="0"/>
        <w:autoSpaceDE w:val="0"/>
        <w:autoSpaceDN w:val="0"/>
        <w:adjustRightInd w:val="0"/>
        <w:ind w:left="2160"/>
      </w:pPr>
    </w:p>
    <w:p w:rsidR="00CA5311" w:rsidRDefault="00CA5311" w:rsidP="00CA5311">
      <w:pPr>
        <w:widowControl w:val="0"/>
        <w:autoSpaceDE w:val="0"/>
        <w:autoSpaceDN w:val="0"/>
        <w:adjustRightInd w:val="0"/>
        <w:ind w:left="2880" w:hanging="720"/>
      </w:pPr>
      <w:r>
        <w:t>B)</w:t>
      </w:r>
      <w:r>
        <w:tab/>
        <w:t xml:space="preserve">Clear aisle for accessible check-out aisles shall comply with Section 400.220(a) and maximum adjoining counter height shall not exceed 38 in. (965 mm) above the finish floor.  The top of the lip shall not exceed 40 in. (1015 mm) above the finish floor.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C)</w:t>
      </w:r>
      <w:r>
        <w:tab/>
        <w:t xml:space="preserve">Signage identifying accessible check-out aisles shall comply with Section 400.310(u)(6)(A) and shall be mounted above the check-out aisle in the same location where the check-out number or type of check-out is displayed.  (ADAAG 7.3)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Security Bollards.  Any device used to prevent the removal of shopping carts from store premises shall not prevent access or egress to environmentally limited persons.  An alternate entry that is equally convenient to that provided for the ambulatory population is acceptable.  (ADAAG 7.4)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4)</w:t>
      </w:r>
      <w:r>
        <w:tab/>
        <w:t xml:space="preserve">Shelves and Display Units.  Shelves or display units allowing self-service by customers shall be located on an accessible route complying with Section 400.310(a).  Requirements for accessible reach range do not apply.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5)</w:t>
      </w:r>
      <w:r>
        <w:tab/>
        <w:t xml:space="preserve">Exemption.  Product storage areas need not be accessible.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proofErr w:type="spellStart"/>
      <w:r>
        <w:t>i</w:t>
      </w:r>
      <w:proofErr w:type="spellEnd"/>
      <w:r>
        <w:t>)</w:t>
      </w:r>
      <w:r>
        <w:tab/>
        <w:t xml:space="preserve">Museums and Exhibition Areas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In museums and exhibition areas, every level with displays open to public viewing shall be accessible and shall comply with Section 400.310(a) and (b).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Displays shall be designed so that they shall be able to be viewed by seated persons and are accessible to persons in wheelchairs.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In state-owned facilities, audible and visual interpretive information shall be provided for persons with auditory or visual impairments.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j)</w:t>
      </w:r>
      <w:r>
        <w:tab/>
        <w:t xml:space="preserve">Public Facilities Which Primarily Serve Children </w:t>
      </w:r>
    </w:p>
    <w:p w:rsidR="00CA5311" w:rsidRDefault="00CA5311" w:rsidP="00CA5311">
      <w:pPr>
        <w:widowControl w:val="0"/>
        <w:autoSpaceDE w:val="0"/>
        <w:autoSpaceDN w:val="0"/>
        <w:adjustRightInd w:val="0"/>
        <w:ind w:left="1440" w:hanging="720"/>
      </w:pPr>
      <w:r>
        <w:tab/>
        <w:t xml:space="preserve">The following dimensions and accessories may be adjusted to suit the age of children to be accommodated in the facility.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Water closets (suggested height </w:t>
      </w:r>
      <w:r w:rsidR="000941FF">
        <w:t xml:space="preserve">– </w:t>
      </w:r>
      <w:r>
        <w:t xml:space="preserve">15 in. (380 mm)).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Toilet stall grab bars (suggested height </w:t>
      </w:r>
      <w:r w:rsidR="000941FF">
        <w:t xml:space="preserve">– </w:t>
      </w:r>
      <w:r>
        <w:t xml:space="preserve">10 in. (255 mm) above the seat) 36 in. (915 mm) </w:t>
      </w:r>
      <w:r w:rsidR="000941FF">
        <w:t xml:space="preserve">long, extended 18 in. (455 mm) </w:t>
      </w:r>
      <w:r>
        <w:t xml:space="preserve">beyond the front edge of the water closet to support a 150 lb. load.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Lavatory (suggested height </w:t>
      </w:r>
      <w:r w:rsidR="000941FF">
        <w:t xml:space="preserve">– </w:t>
      </w:r>
      <w:r>
        <w:t xml:space="preserve">29 in. (735 mm) from the floor to bottom of apron).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4)</w:t>
      </w:r>
      <w:r>
        <w:tab/>
        <w:t xml:space="preserve">Controls, receptacles, and dispensers (suggested height </w:t>
      </w:r>
      <w:r w:rsidR="000941FF">
        <w:t xml:space="preserve">– </w:t>
      </w:r>
      <w:r>
        <w:t xml:space="preserve">40 in. (1015 mm) above the finished floor).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5)</w:t>
      </w:r>
      <w:r>
        <w:tab/>
        <w:t xml:space="preserve">Supplemental handrails (suggested height </w:t>
      </w:r>
      <w:r w:rsidR="000941FF">
        <w:t xml:space="preserve">– </w:t>
      </w:r>
      <w:r>
        <w:t xml:space="preserve">2'0" from center of bar to floor surface). (Note that this does not supersede other Code requirements for guard and handrails at proper heights.)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6)</w:t>
      </w:r>
      <w:r>
        <w:tab/>
        <w:t xml:space="preserve">Drinking fountain spouts (suggested height </w:t>
      </w:r>
      <w:r w:rsidR="000941FF">
        <w:t xml:space="preserve">– </w:t>
      </w:r>
      <w:r>
        <w:t xml:space="preserve">2'6" above finished floor).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k)</w:t>
      </w:r>
      <w:r>
        <w:tab/>
        <w:t xml:space="preserve">Recreational Facilities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Parking lots, toilets, showers, cabins, campsites, concession stands, craft areas, boat docks and other communal areas shall be accessible and be on an accessible route.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Five percent or at least two, whichever is the greater, of all camping sites at a facility shall be accessible to people who use wheelchairs by having an accessible parking space and walk which leads to the campsites, restrooms, and fire-pits, where provided.  Trails over steep or difficult terrain need not be accessible.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Swimming pools, beaches, zoos, botanical gardens, amusement parks, fairgrounds, bowling alleys, playgrounds, sports facilities, marinas and other recreational facilities shall be accessible.  Where provided, all allied facilities, such as parking, horizon</w:t>
      </w:r>
      <w:r w:rsidR="00734B91">
        <w:t>t</w:t>
      </w:r>
      <w:r>
        <w:t xml:space="preserve">al and vertical circulation, entrances, toilet facilities, changing and shower facilities shall meet the specific requirements of this Code.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l)</w:t>
      </w:r>
      <w:r>
        <w:tab/>
        <w:t xml:space="preserve">Restaurants and Cafeterias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General.  Except as specified or modified in this Section, restaurants and cafeterias shall comply with the requirements of Section 400.310.  Where fixed tables (or dining counters where food is consumed but there is no service) are provided, at least five %, but not fewer than one, of the fixed tables (or a portion of the dining counter) shall be accessible and shall comply with Section 400.310(w)(2) through (4).  An accessible route shall lead to and through such fixed or built-in seating areas or tables.  In establishments where separate areas are designated for smoking and non-smoking patrons, the required number of accessible fixed tables (or counters) shall be proportionally distributed between the smoking and non-smoking areas.  In new construction, and where practicable in alterations, accessible fixed tables (or counters) shall be distributed throughout the space or facility. (ADAAG 5.1)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Counters and Bars.  Where food or drink is served at counters exceeding 34 in. (865 mm) in height for consumption by customers seated on stools or standing at the counter, a portion of the main counter which is 60 in. (1525 mm) in length minimum shall be provided in compliance with Section 400.310(w) or service shall be available at accessible tables within the same area.  (ADAAG 5.2)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3)</w:t>
      </w:r>
      <w:r>
        <w:tab/>
        <w:t xml:space="preserve">Access Aisles.  All accessible fixed tables shall be accessible by means of an access aisle at least 36 in. (915 mm) clear between parallel edges of tables or between a wall and the table edges.  (ADAAG 5.3)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4)</w:t>
      </w:r>
      <w:r>
        <w:tab/>
        <w:t xml:space="preserve">Dining Areas.  In new construction, all dining areas, including raised or sunken dining areas, loggias, and outdoor seating areas, shall be accessible. In non-elevator buildings, an accessible means of vertical access to the mezzanine is not required under the following conditions: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The area of mezzanine seating measures no more than 33% of the total accessible seating area;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B)</w:t>
      </w:r>
      <w:r>
        <w:tab/>
        <w:t xml:space="preserve">The same services and decor are provided in an accessible space usable by the general public; and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C)</w:t>
      </w:r>
      <w:r>
        <w:tab/>
        <w:t xml:space="preserve">The accessible areas are not restricted to use by people with disabilities. (ADAAG 5.4)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5)</w:t>
      </w:r>
      <w:r>
        <w:tab/>
        <w:t xml:space="preserve">Food Services Lines.  Food service lines shall have a minimum clear width of 36 in. (915 mm), with a preferred clear width of 42 in. (1065 mm) to allow passage around a person using a wheelchair.  Tray slides shall be mounted no higher than 34 in. (865 mm) above the floor (see Illustration B, Fig. 53).  If self-service shelves are provided, at least 50% of each type must be within the reach ranges specified in Section 400.220(e) and (f). (ADAAG 5.5)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6)</w:t>
      </w:r>
      <w:r>
        <w:tab/>
        <w:t xml:space="preserve">Tableware and Condiment Areas.  Self-service shelves and dispensing devices for tableware, dishware, condiments, food and beverages shall be installed to comply with Section 400.220 (see Illustration B, Fig. 54).  (ADAAG 5.6)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7)</w:t>
      </w:r>
      <w:r>
        <w:tab/>
        <w:t xml:space="preserve">Raised Platforms.  In banquet rooms or spaces where a head table or speaker's lectern is located on a raised platform, the platform shall be accessible in compliance with Section 400.310(e) or (h).  Open edges of a raised platform shall be protected by placement of tables or by a curb.  (ADAAG 5.7)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8)</w:t>
      </w:r>
      <w:r>
        <w:tab/>
        <w:t xml:space="preserve">Vending Machines and Other Equipment.  Spaces for vending machines and other equipment shall comply with Section 400.220 and shall be located on an accessible route.  (ADAAG 5.8)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m)</w:t>
      </w:r>
      <w:r>
        <w:tab/>
        <w:t xml:space="preserve">Temporary Buildings and Facilities All temporary buildings, facilities, accessible routes and building elements shall comply with the applicable accessibility requirements of this Code, unless specifically exempted in Section 400.330.  In no case shall a temporary building or facility cause an existing building or facility to be further from compliance with this Code than it was prior to the erection of the temporary building, facility, accessible route, or building element.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n)</w:t>
      </w:r>
      <w:r>
        <w:tab/>
        <w:t xml:space="preserve">Tenant Work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Tenant finishing work (including, but not limited to, partitions, doors, and </w:t>
      </w:r>
      <w:proofErr w:type="spellStart"/>
      <w:r>
        <w:t>officescapes</w:t>
      </w:r>
      <w:proofErr w:type="spellEnd"/>
      <w:r>
        <w:t xml:space="preserve">) which is first constructed within any space of a building shall be considered as new construction within this Code, and shall comply with all requirements of this Code for new construction, including the principal entrance to the tenant space.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Tenant finishing work which is constructed subsequent to the first tenant remodeling of a building shall be considered alterations within this Code and shall comply with requirements of this Code for alterations.  The area of required compliance shall include the principal entrance to the tenant space.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o)</w:t>
      </w:r>
      <w:r>
        <w:tab/>
        <w:t xml:space="preserve">Transportation Terminals/Stations and Shopping Malls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1)</w:t>
      </w:r>
      <w:r>
        <w:tab/>
        <w:t xml:space="preserve">All public facilities which are used for transportation terminals, stations and shopping malls shall have a visual information source which shall be located immediately adjacent to principal entrance(s) of transportation terminals/stations and shopping malls to give visual directions or information to environmentally limited persons.  Such visual information source shall be one or both of the following: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A)</w:t>
      </w:r>
      <w:r>
        <w:tab/>
        <w:t xml:space="preserve">A floor plan of the building, with viewer's position marked and properly oriented, showing vehicle embarkation and disembarkation points, entrances and exits, ticket counters, public lockers, telephones, and public toilet rooms; </w:t>
      </w:r>
    </w:p>
    <w:p w:rsidR="00DF677A" w:rsidRDefault="00DF677A" w:rsidP="00CA5311">
      <w:pPr>
        <w:widowControl w:val="0"/>
        <w:autoSpaceDE w:val="0"/>
        <w:autoSpaceDN w:val="0"/>
        <w:adjustRightInd w:val="0"/>
        <w:ind w:left="2880" w:hanging="720"/>
      </w:pPr>
    </w:p>
    <w:p w:rsidR="00CA5311" w:rsidRDefault="00CA5311" w:rsidP="00CA5311">
      <w:pPr>
        <w:widowControl w:val="0"/>
        <w:autoSpaceDE w:val="0"/>
        <w:autoSpaceDN w:val="0"/>
        <w:adjustRightInd w:val="0"/>
        <w:ind w:left="2880" w:hanging="720"/>
      </w:pPr>
      <w:r>
        <w:t>B)</w:t>
      </w:r>
      <w:r>
        <w:tab/>
        <w:t xml:space="preserve">Printed and graphic information, complying with Section 400.310(u), with tactile characters and symbols. </w:t>
      </w:r>
    </w:p>
    <w:p w:rsidR="00DF677A" w:rsidRDefault="00DF677A" w:rsidP="00CA5311">
      <w:pPr>
        <w:widowControl w:val="0"/>
        <w:autoSpaceDE w:val="0"/>
        <w:autoSpaceDN w:val="0"/>
        <w:adjustRightInd w:val="0"/>
        <w:ind w:left="2160" w:hanging="720"/>
      </w:pPr>
    </w:p>
    <w:p w:rsidR="00CA5311" w:rsidRDefault="00CA5311" w:rsidP="00CA5311">
      <w:pPr>
        <w:widowControl w:val="0"/>
        <w:autoSpaceDE w:val="0"/>
        <w:autoSpaceDN w:val="0"/>
        <w:adjustRightInd w:val="0"/>
        <w:ind w:left="2160" w:hanging="720"/>
      </w:pPr>
      <w:r>
        <w:t>2)</w:t>
      </w:r>
      <w:r>
        <w:tab/>
        <w:t xml:space="preserve">Provide for installation of a Telecommunication Device for the Deaf (TDD) at all major public transportation sites as required by the Telecommunication Devices for the Deaf Act [410 ILCS 55]. </w:t>
      </w:r>
    </w:p>
    <w:p w:rsidR="00DF677A" w:rsidRDefault="00DF677A" w:rsidP="00CA5311">
      <w:pPr>
        <w:widowControl w:val="0"/>
        <w:autoSpaceDE w:val="0"/>
        <w:autoSpaceDN w:val="0"/>
        <w:adjustRightInd w:val="0"/>
        <w:ind w:left="1440" w:hanging="720"/>
      </w:pPr>
    </w:p>
    <w:p w:rsidR="00CA5311" w:rsidRDefault="00CA5311" w:rsidP="00CA5311">
      <w:pPr>
        <w:widowControl w:val="0"/>
        <w:autoSpaceDE w:val="0"/>
        <w:autoSpaceDN w:val="0"/>
        <w:adjustRightInd w:val="0"/>
        <w:ind w:left="1440" w:hanging="720"/>
      </w:pPr>
      <w:r>
        <w:t>p)</w:t>
      </w:r>
      <w:r>
        <w:tab/>
        <w:t xml:space="preserve">Detention and Correctional Facilities </w:t>
      </w:r>
    </w:p>
    <w:p w:rsidR="00CA5311" w:rsidRDefault="00CA5311" w:rsidP="00CA5311">
      <w:pPr>
        <w:widowControl w:val="0"/>
        <w:autoSpaceDE w:val="0"/>
        <w:autoSpaceDN w:val="0"/>
        <w:adjustRightInd w:val="0"/>
        <w:ind w:left="1440" w:hanging="720"/>
      </w:pPr>
      <w:r>
        <w:tab/>
        <w:t xml:space="preserve">Individual inmate housing units of detention and correctional facilities owned by the State of Illinois or a governmental unit, at a rate of 3% or at least 1, whichever is greater, shall be accessible in accordance with this Code. </w:t>
      </w:r>
    </w:p>
    <w:sectPr w:rsidR="00CA5311" w:rsidSect="00CA53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311"/>
    <w:rsid w:val="000941FF"/>
    <w:rsid w:val="000C47ED"/>
    <w:rsid w:val="001D58FD"/>
    <w:rsid w:val="005C3366"/>
    <w:rsid w:val="00734B91"/>
    <w:rsid w:val="00983722"/>
    <w:rsid w:val="009926E5"/>
    <w:rsid w:val="00CA5311"/>
    <w:rsid w:val="00D16178"/>
    <w:rsid w:val="00DB3E39"/>
    <w:rsid w:val="00DF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31652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cp:lastPrinted>2002-11-21T21:40:00Z</cp:lastPrinted>
  <dcterms:created xsi:type="dcterms:W3CDTF">2012-06-21T22:29:00Z</dcterms:created>
  <dcterms:modified xsi:type="dcterms:W3CDTF">2012-06-21T22:29:00Z</dcterms:modified>
</cp:coreProperties>
</file>