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D4" w:rsidRDefault="000E17D4" w:rsidP="000E1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7D4" w:rsidRDefault="000E17D4" w:rsidP="000E17D4">
      <w:pPr>
        <w:widowControl w:val="0"/>
        <w:autoSpaceDE w:val="0"/>
        <w:autoSpaceDN w:val="0"/>
        <w:adjustRightInd w:val="0"/>
      </w:pPr>
      <w:r>
        <w:t xml:space="preserve">AUTHORITY:  Implementing the Capital Development Board Act [20 ILCS 3105] and authorized by Section 5-55 of that Act, and the School Construction Law [105 ILCS 230]. </w:t>
      </w:r>
    </w:p>
    <w:sectPr w:rsidR="000E17D4" w:rsidSect="000E1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7D4"/>
    <w:rsid w:val="0002149A"/>
    <w:rsid w:val="0008276C"/>
    <w:rsid w:val="000E17D4"/>
    <w:rsid w:val="005C3366"/>
    <w:rsid w:val="00C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Capital Development Board Act [20 ILCS 3105] and authorized by Section 5-55 of that Act, and the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Capital Development Board Act [20 ILCS 3105] and authorized by Section 5-55 of that Act, and the 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