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2549" w14:textId="77777777" w:rsidR="00DC333D" w:rsidRDefault="00DC333D" w:rsidP="00DC333D">
      <w:pPr>
        <w:rPr>
          <w:b/>
        </w:rPr>
      </w:pPr>
    </w:p>
    <w:p w14:paraId="51E11DC3" w14:textId="77777777" w:rsidR="00DC333D" w:rsidRPr="00DC333D" w:rsidRDefault="00DC333D" w:rsidP="00DC333D">
      <w:pPr>
        <w:rPr>
          <w:b/>
        </w:rPr>
      </w:pPr>
      <w:r w:rsidRPr="00DC333D">
        <w:rPr>
          <w:b/>
        </w:rPr>
        <w:t xml:space="preserve">Section 1452.100 </w:t>
      </w:r>
      <w:r>
        <w:rPr>
          <w:b/>
        </w:rPr>
        <w:t xml:space="preserve"> </w:t>
      </w:r>
      <w:r w:rsidRPr="00DC333D">
        <w:rPr>
          <w:b/>
        </w:rPr>
        <w:t xml:space="preserve">Payment Policies </w:t>
      </w:r>
    </w:p>
    <w:p w14:paraId="443F9D2D" w14:textId="77777777" w:rsidR="00DC333D" w:rsidRPr="00DC333D" w:rsidRDefault="00DC333D" w:rsidP="00DC333D"/>
    <w:p w14:paraId="577DB14C" w14:textId="6BBC9F5B" w:rsidR="00DC333D" w:rsidRPr="00DC333D" w:rsidRDefault="00DC333D" w:rsidP="00DC333D">
      <w:pPr>
        <w:ind w:left="1440" w:hanging="720"/>
      </w:pPr>
      <w:r>
        <w:t>a)</w:t>
      </w:r>
      <w:r>
        <w:tab/>
      </w:r>
      <w:r w:rsidRPr="00DC333D">
        <w:t xml:space="preserve">The registrant shall provide a written, comprehensive </w:t>
      </w:r>
      <w:r w:rsidR="00CE413E">
        <w:t xml:space="preserve">and definitive </w:t>
      </w:r>
      <w:r w:rsidRPr="00DC333D">
        <w:t>payment policy to each approved appraiser vendor.  The payment policy may be part of a vendor agreement, assignment order</w:t>
      </w:r>
      <w:r w:rsidR="00CE413E">
        <w:t>,</w:t>
      </w:r>
      <w:r w:rsidRPr="00DC333D">
        <w:t xml:space="preserve"> or service request, and shall include, but is not limited to</w:t>
      </w:r>
      <w:r w:rsidR="000C0030">
        <w:t>,</w:t>
      </w:r>
      <w:r w:rsidRPr="00DC333D">
        <w:t xml:space="preserve"> the following:</w:t>
      </w:r>
    </w:p>
    <w:p w14:paraId="0C07844F" w14:textId="77777777" w:rsidR="00DC333D" w:rsidRPr="00DC333D" w:rsidRDefault="00DC333D" w:rsidP="001339C5"/>
    <w:p w14:paraId="176B7A0F" w14:textId="77777777" w:rsidR="00DC333D" w:rsidRPr="00DC333D" w:rsidRDefault="00DC333D" w:rsidP="00DC333D">
      <w:pPr>
        <w:ind w:left="2160" w:hanging="720"/>
      </w:pPr>
      <w:r w:rsidRPr="00DC333D">
        <w:t>1)</w:t>
      </w:r>
      <w:r w:rsidRPr="00DC333D">
        <w:tab/>
        <w:t>The agreed date or period by which the appraiser should expect to receive compensation at the conclusion of an assignment;</w:t>
      </w:r>
    </w:p>
    <w:p w14:paraId="11363D23" w14:textId="77777777" w:rsidR="00DC333D" w:rsidRPr="00DC333D" w:rsidRDefault="00DC333D" w:rsidP="001339C5"/>
    <w:p w14:paraId="68D41738" w14:textId="77777777" w:rsidR="00DC333D" w:rsidRPr="00DC333D" w:rsidRDefault="00DC333D" w:rsidP="00DC333D">
      <w:pPr>
        <w:ind w:left="1440"/>
      </w:pPr>
      <w:r w:rsidRPr="00DC333D">
        <w:t>2)</w:t>
      </w:r>
      <w:r w:rsidRPr="00DC333D">
        <w:tab/>
        <w:t>Total completed assignment compensation;</w:t>
      </w:r>
    </w:p>
    <w:p w14:paraId="2B8B9F54" w14:textId="77777777" w:rsidR="00DC333D" w:rsidRPr="00DC333D" w:rsidRDefault="00DC333D" w:rsidP="001339C5"/>
    <w:p w14:paraId="266C2725" w14:textId="25E9689F" w:rsidR="00DC333D" w:rsidRPr="00DC333D" w:rsidRDefault="00DC333D" w:rsidP="00DC333D">
      <w:pPr>
        <w:ind w:left="1440"/>
      </w:pPr>
      <w:r w:rsidRPr="00DC333D">
        <w:t>3)</w:t>
      </w:r>
      <w:r w:rsidRPr="00DC333D">
        <w:tab/>
        <w:t>Any conditions that delay or void payment</w:t>
      </w:r>
      <w:r w:rsidR="00CE413E">
        <w:t>, including sequential liability</w:t>
      </w:r>
      <w:r w:rsidRPr="00DC333D">
        <w:t>;</w:t>
      </w:r>
    </w:p>
    <w:p w14:paraId="1E2670D0" w14:textId="77777777" w:rsidR="00DC333D" w:rsidRPr="00DC333D" w:rsidRDefault="00DC333D" w:rsidP="001339C5"/>
    <w:p w14:paraId="43C2A225" w14:textId="77777777" w:rsidR="00DC333D" w:rsidRPr="00DC333D" w:rsidRDefault="00DC333D" w:rsidP="00DC333D">
      <w:pPr>
        <w:ind w:left="1440"/>
      </w:pPr>
      <w:r w:rsidRPr="00DC333D">
        <w:t>4)</w:t>
      </w:r>
      <w:r w:rsidRPr="00DC333D">
        <w:tab/>
        <w:t>By what method compensation will be received by the appraiser;</w:t>
      </w:r>
    </w:p>
    <w:p w14:paraId="1CD34354" w14:textId="77777777" w:rsidR="00DC333D" w:rsidRPr="00DC333D" w:rsidRDefault="00DC333D" w:rsidP="001339C5"/>
    <w:p w14:paraId="6FCAB7D8" w14:textId="77777777" w:rsidR="00DC333D" w:rsidRPr="00DC333D" w:rsidRDefault="00DC333D" w:rsidP="00DC333D">
      <w:pPr>
        <w:ind w:left="1440"/>
      </w:pPr>
      <w:r w:rsidRPr="00DC333D">
        <w:t>5)</w:t>
      </w:r>
      <w:r w:rsidRPr="00DC333D">
        <w:tab/>
        <w:t>Registrant</w:t>
      </w:r>
      <w:r>
        <w:t>'</w:t>
      </w:r>
      <w:r w:rsidRPr="00DC333D">
        <w:t>s required turn time;</w:t>
      </w:r>
    </w:p>
    <w:p w14:paraId="4EFBBA80" w14:textId="77777777" w:rsidR="00DC333D" w:rsidRPr="00DC333D" w:rsidRDefault="00DC333D" w:rsidP="001339C5"/>
    <w:p w14:paraId="2A2EA308" w14:textId="77777777" w:rsidR="00DC333D" w:rsidRPr="00DC333D" w:rsidRDefault="00DC333D" w:rsidP="00DC333D">
      <w:pPr>
        <w:ind w:left="1440"/>
      </w:pPr>
      <w:r w:rsidRPr="00DC333D">
        <w:t>6)</w:t>
      </w:r>
      <w:r w:rsidRPr="00DC333D">
        <w:tab/>
        <w:t xml:space="preserve">Partial compensation, if any, for the following: </w:t>
      </w:r>
    </w:p>
    <w:p w14:paraId="5A313E46" w14:textId="77777777" w:rsidR="00DC333D" w:rsidRPr="00DC333D" w:rsidRDefault="00DC333D" w:rsidP="00DC333D"/>
    <w:p w14:paraId="2E2EF180" w14:textId="77777777" w:rsidR="00DC333D" w:rsidRPr="00DC333D" w:rsidRDefault="00DC333D" w:rsidP="00DC333D">
      <w:pPr>
        <w:ind w:left="1440" w:firstLine="720"/>
      </w:pPr>
      <w:r>
        <w:t>A)</w:t>
      </w:r>
      <w:r>
        <w:tab/>
      </w:r>
      <w:r w:rsidRPr="00DC333D">
        <w:t xml:space="preserve">Completed assignment; </w:t>
      </w:r>
    </w:p>
    <w:p w14:paraId="59F38ED2" w14:textId="77777777" w:rsidR="00DC333D" w:rsidRPr="00DC333D" w:rsidRDefault="00DC333D" w:rsidP="00DC333D"/>
    <w:p w14:paraId="6FBAE787" w14:textId="5135D218" w:rsidR="00DC333D" w:rsidRPr="00DC333D" w:rsidRDefault="00DC333D" w:rsidP="00DC333D">
      <w:pPr>
        <w:ind w:left="2880" w:hanging="720"/>
      </w:pPr>
      <w:r>
        <w:t>B)</w:t>
      </w:r>
      <w:r>
        <w:tab/>
      </w:r>
      <w:r w:rsidRPr="00DC333D">
        <w:t>Registrant</w:t>
      </w:r>
      <w:r>
        <w:t>'</w:t>
      </w:r>
      <w:r w:rsidRPr="00DC333D">
        <w:t>s or client delays, holds and/or cancellations; or</w:t>
      </w:r>
    </w:p>
    <w:p w14:paraId="70510CB1" w14:textId="77777777" w:rsidR="00DC333D" w:rsidRPr="00DC333D" w:rsidRDefault="00DC333D" w:rsidP="001339C5"/>
    <w:p w14:paraId="7060DCCE" w14:textId="77777777" w:rsidR="00DC333D" w:rsidRPr="00DC333D" w:rsidRDefault="00DC333D" w:rsidP="00DC333D">
      <w:pPr>
        <w:ind w:left="2880" w:hanging="720"/>
      </w:pPr>
      <w:r>
        <w:t>C)</w:t>
      </w:r>
      <w:r>
        <w:tab/>
      </w:r>
      <w:r w:rsidRPr="00DC333D">
        <w:t>Property owner or agent access delays and/or cancellations</w:t>
      </w:r>
      <w:r w:rsidR="000C0030">
        <w:t>,</w:t>
      </w:r>
      <w:r w:rsidRPr="00DC333D">
        <w:t xml:space="preserve"> including when an individual responsible for providing access to a property fails to </w:t>
      </w:r>
      <w:r w:rsidR="000C0030">
        <w:t>appear</w:t>
      </w:r>
      <w:r w:rsidRPr="00DC333D">
        <w:t xml:space="preserve"> at the scheduled time;</w:t>
      </w:r>
    </w:p>
    <w:p w14:paraId="4F03CA70" w14:textId="77777777" w:rsidR="00DC333D" w:rsidRPr="00DC333D" w:rsidRDefault="00DC333D" w:rsidP="00DC333D"/>
    <w:p w14:paraId="5F7A116A" w14:textId="77777777" w:rsidR="00DC333D" w:rsidRPr="00DC333D" w:rsidRDefault="00DC333D" w:rsidP="00DC333D">
      <w:pPr>
        <w:ind w:left="2160" w:hanging="720"/>
      </w:pPr>
      <w:r>
        <w:t>7</w:t>
      </w:r>
      <w:r w:rsidRPr="00DC333D">
        <w:t>)</w:t>
      </w:r>
      <w:r w:rsidRPr="00DC333D">
        <w:tab/>
        <w:t xml:space="preserve">Any and all fees and charges charged to an Illinois appraiser, including but not limited to fees and charges for: </w:t>
      </w:r>
    </w:p>
    <w:p w14:paraId="68FAEA78" w14:textId="77777777" w:rsidR="00DC333D" w:rsidRPr="00DC333D" w:rsidRDefault="00DC333D" w:rsidP="001339C5"/>
    <w:p w14:paraId="7D01EB10" w14:textId="18C9CACC" w:rsidR="00DC333D" w:rsidRPr="00DC333D" w:rsidRDefault="00DC333D" w:rsidP="00DC333D">
      <w:pPr>
        <w:ind w:left="2160"/>
      </w:pPr>
      <w:r w:rsidRPr="00DC333D">
        <w:t>A)</w:t>
      </w:r>
      <w:r w:rsidRPr="00DC333D">
        <w:tab/>
        <w:t>Portal and</w:t>
      </w:r>
      <w:r w:rsidR="000C0030">
        <w:t>/</w:t>
      </w:r>
      <w:r w:rsidRPr="00DC333D">
        <w:t xml:space="preserve">or </w:t>
      </w:r>
      <w:r w:rsidR="00CE413E">
        <w:t>onboarding</w:t>
      </w:r>
      <w:r w:rsidRPr="00DC333D">
        <w:t xml:space="preserve"> or maintenance;</w:t>
      </w:r>
    </w:p>
    <w:p w14:paraId="4DA3AD1D" w14:textId="77777777" w:rsidR="00DC333D" w:rsidRPr="00DC333D" w:rsidRDefault="00DC333D" w:rsidP="001339C5"/>
    <w:p w14:paraId="1B350562" w14:textId="77777777" w:rsidR="00DC333D" w:rsidRPr="00DC333D" w:rsidRDefault="00DC333D" w:rsidP="00DC333D">
      <w:pPr>
        <w:ind w:left="2160"/>
      </w:pPr>
      <w:r w:rsidRPr="00DC333D">
        <w:t>B)</w:t>
      </w:r>
      <w:r w:rsidRPr="00DC333D">
        <w:tab/>
        <w:t>Systems access;</w:t>
      </w:r>
    </w:p>
    <w:p w14:paraId="5C1C3DE4" w14:textId="77777777" w:rsidR="00DC333D" w:rsidRPr="00DC333D" w:rsidRDefault="00DC333D" w:rsidP="001339C5"/>
    <w:p w14:paraId="427F43FF" w14:textId="1075B30D" w:rsidR="00DC333D" w:rsidRPr="00DC333D" w:rsidRDefault="00DC333D" w:rsidP="00CE413E">
      <w:pPr>
        <w:ind w:left="2880" w:hanging="720"/>
      </w:pPr>
      <w:r w:rsidRPr="00DC333D">
        <w:t>C)</w:t>
      </w:r>
      <w:r w:rsidRPr="00DC333D">
        <w:tab/>
        <w:t xml:space="preserve">Technology applications and proprietary software </w:t>
      </w:r>
      <w:r w:rsidR="00CE413E">
        <w:t>or cloud computing</w:t>
      </w:r>
      <w:r w:rsidRPr="00DC333D">
        <w:t>;</w:t>
      </w:r>
    </w:p>
    <w:p w14:paraId="27606441" w14:textId="77777777" w:rsidR="00DC333D" w:rsidRPr="00DC333D" w:rsidRDefault="00DC333D" w:rsidP="001339C5"/>
    <w:p w14:paraId="37F2EA8E" w14:textId="77777777" w:rsidR="00DC333D" w:rsidRPr="00DC333D" w:rsidRDefault="00DC333D" w:rsidP="00DC333D">
      <w:pPr>
        <w:ind w:left="2160"/>
      </w:pPr>
      <w:r w:rsidRPr="00DC333D">
        <w:t>D)</w:t>
      </w:r>
      <w:r w:rsidRPr="00DC333D">
        <w:tab/>
        <w:t>Background and/or credit checks;</w:t>
      </w:r>
    </w:p>
    <w:p w14:paraId="7D1D145C" w14:textId="77777777" w:rsidR="00DC333D" w:rsidRPr="00DC333D" w:rsidRDefault="00DC333D" w:rsidP="001339C5"/>
    <w:p w14:paraId="5FA31843" w14:textId="77777777" w:rsidR="00DC333D" w:rsidRPr="00DC333D" w:rsidRDefault="00DC333D" w:rsidP="00DC333D">
      <w:pPr>
        <w:ind w:left="2160"/>
      </w:pPr>
      <w:r w:rsidRPr="00DC333D">
        <w:t>E)</w:t>
      </w:r>
      <w:r w:rsidRPr="00DC333D">
        <w:tab/>
        <w:t>Review of assignments or samples; and</w:t>
      </w:r>
    </w:p>
    <w:p w14:paraId="0EE6B283" w14:textId="77777777" w:rsidR="00DC333D" w:rsidRPr="00DC333D" w:rsidRDefault="00DC333D" w:rsidP="001339C5"/>
    <w:p w14:paraId="435AFBD8" w14:textId="77777777" w:rsidR="00DC333D" w:rsidRPr="00DC333D" w:rsidRDefault="00DC333D" w:rsidP="00DC333D">
      <w:pPr>
        <w:ind w:left="2160"/>
      </w:pPr>
      <w:r w:rsidRPr="00DC333D">
        <w:t>F)</w:t>
      </w:r>
      <w:r w:rsidRPr="00DC333D">
        <w:tab/>
        <w:t>Application for panel approval.</w:t>
      </w:r>
    </w:p>
    <w:p w14:paraId="147C6669" w14:textId="77777777" w:rsidR="00DC333D" w:rsidRPr="00DC333D" w:rsidRDefault="00DC333D" w:rsidP="00DC333D"/>
    <w:p w14:paraId="5E5F4DF3" w14:textId="76707593" w:rsidR="00CE413E" w:rsidRDefault="00DC333D" w:rsidP="00CE413E">
      <w:pPr>
        <w:ind w:left="1440" w:hanging="720"/>
      </w:pPr>
      <w:r>
        <w:lastRenderedPageBreak/>
        <w:t>b)</w:t>
      </w:r>
      <w:r>
        <w:tab/>
      </w:r>
      <w:r w:rsidRPr="00DC333D">
        <w:t>The registrant shall maintain records of all changes to written payment policies.</w:t>
      </w:r>
      <w:r w:rsidR="00CE413E">
        <w:t xml:space="preserve">  The fee schedules shall be definitive in nature.  All fee schedules must be in compliance with the provisions of the Truth in Lending Act (15 U</w:t>
      </w:r>
      <w:r w:rsidR="002D7DCB">
        <w:t>.</w:t>
      </w:r>
      <w:r w:rsidR="00CE413E">
        <w:t>S</w:t>
      </w:r>
      <w:r w:rsidR="002D7DCB">
        <w:t>.</w:t>
      </w:r>
      <w:r w:rsidR="00CE413E">
        <w:t>C</w:t>
      </w:r>
      <w:r w:rsidR="002D7DCB">
        <w:t>.</w:t>
      </w:r>
      <w:r w:rsidR="00CE413E">
        <w:t xml:space="preserve"> 1601) relating to customary and reasonable fees.</w:t>
      </w:r>
    </w:p>
    <w:p w14:paraId="093E5326" w14:textId="77777777" w:rsidR="00CE413E" w:rsidRDefault="00CE413E" w:rsidP="001339C5"/>
    <w:p w14:paraId="3708938D" w14:textId="7969E558" w:rsidR="00CE413E" w:rsidRDefault="00CE413E" w:rsidP="00CE413E">
      <w:pPr>
        <w:ind w:left="1440" w:hanging="720"/>
      </w:pPr>
      <w:r>
        <w:t>c)</w:t>
      </w:r>
      <w:r>
        <w:tab/>
        <w:t>A registrant shall not prohibit an appraiser from including within the body of the appraisal report that is submitted as part of an assignment, the following:</w:t>
      </w:r>
    </w:p>
    <w:p w14:paraId="5F114B48" w14:textId="77777777" w:rsidR="00CE413E" w:rsidRDefault="00CE413E" w:rsidP="001339C5"/>
    <w:p w14:paraId="3581F8CD" w14:textId="2A1944EC" w:rsidR="00CE413E" w:rsidRDefault="00CE413E" w:rsidP="00CE413E">
      <w:pPr>
        <w:ind w:left="1440"/>
      </w:pPr>
      <w:r>
        <w:t>1)</w:t>
      </w:r>
      <w:r>
        <w:tab/>
        <w:t>The total fee that is collected by the AMC for the assignment;</w:t>
      </w:r>
    </w:p>
    <w:p w14:paraId="56329CAC" w14:textId="77777777" w:rsidR="00CE413E" w:rsidRDefault="00CE413E" w:rsidP="001339C5"/>
    <w:p w14:paraId="6EB16845" w14:textId="134E89ED" w:rsidR="00CE413E" w:rsidRDefault="00CE413E" w:rsidP="00CE413E">
      <w:pPr>
        <w:ind w:left="2160" w:hanging="720"/>
      </w:pPr>
      <w:r>
        <w:t>2)</w:t>
      </w:r>
      <w:r>
        <w:tab/>
        <w:t>The amount agreed to between the AMC and the appraiser at the time of the engagement for the performance of the appraisal; or</w:t>
      </w:r>
    </w:p>
    <w:p w14:paraId="26FA0D96" w14:textId="77777777" w:rsidR="00CE413E" w:rsidRDefault="00CE413E" w:rsidP="001339C5"/>
    <w:p w14:paraId="61E80A55" w14:textId="7D8B717C" w:rsidR="00CE413E" w:rsidRDefault="00CE413E" w:rsidP="00CE413E">
      <w:pPr>
        <w:ind w:left="2160" w:hanging="720"/>
      </w:pPr>
      <w:r>
        <w:t>3)</w:t>
      </w:r>
      <w:r>
        <w:tab/>
        <w:t>Disclosure of the total compensation paid to the appraiser for the performance of the appraisal assignment and to the AMC for the related appraisal assignment or activity.</w:t>
      </w:r>
    </w:p>
    <w:p w14:paraId="1DE14CBA" w14:textId="77777777" w:rsidR="00CE413E" w:rsidRDefault="00CE413E" w:rsidP="001339C5"/>
    <w:p w14:paraId="674939FC" w14:textId="7B50EF14" w:rsidR="00CE413E" w:rsidRDefault="00CE413E" w:rsidP="00CE413E">
      <w:pPr>
        <w:ind w:left="1440" w:hanging="720"/>
      </w:pPr>
      <w:r>
        <w:t>d)</w:t>
      </w:r>
      <w:r>
        <w:tab/>
        <w:t xml:space="preserve">If a registrant utilizes a </w:t>
      </w:r>
      <w:proofErr w:type="gramStart"/>
      <w:r>
        <w:t>third party</w:t>
      </w:r>
      <w:proofErr w:type="gramEnd"/>
      <w:r>
        <w:t xml:space="preserve"> service or business to disburse payment to the appraiser, the registrant is still responsible for the requirements as stipulated by the Act and this Part.</w:t>
      </w:r>
    </w:p>
    <w:p w14:paraId="1D0CBC81" w14:textId="77777777" w:rsidR="00CE413E" w:rsidRDefault="00CE413E" w:rsidP="001339C5"/>
    <w:p w14:paraId="037194ED" w14:textId="12D029B4" w:rsidR="00DC333D" w:rsidRDefault="00CE413E" w:rsidP="00DC333D">
      <w:pPr>
        <w:ind w:firstLine="720"/>
      </w:pPr>
      <w:r w:rsidRPr="004E27CF">
        <w:t xml:space="preserve">(Source:  Amended at </w:t>
      </w:r>
      <w:r w:rsidR="0044619B">
        <w:t>50</w:t>
      </w:r>
      <w:r w:rsidRPr="004E27CF">
        <w:t xml:space="preserve"> Ill. Reg. </w:t>
      </w:r>
      <w:r w:rsidR="006E5291">
        <w:t>686</w:t>
      </w:r>
      <w:r w:rsidRPr="004E27CF">
        <w:t xml:space="preserve">, effective </w:t>
      </w:r>
      <w:r w:rsidR="006E5291">
        <w:t>January 5, 2026</w:t>
      </w:r>
      <w:r w:rsidRPr="004E27CF">
        <w:t>)</w:t>
      </w:r>
    </w:p>
    <w:sectPr w:rsidR="00DC33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4D1C" w14:textId="77777777" w:rsidR="00115907" w:rsidRDefault="00115907">
      <w:r>
        <w:separator/>
      </w:r>
    </w:p>
  </w:endnote>
  <w:endnote w:type="continuationSeparator" w:id="0">
    <w:p w14:paraId="1E8E9F89" w14:textId="77777777" w:rsidR="00115907" w:rsidRDefault="0011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0637" w14:textId="77777777" w:rsidR="00115907" w:rsidRDefault="00115907">
      <w:r>
        <w:separator/>
      </w:r>
    </w:p>
  </w:footnote>
  <w:footnote w:type="continuationSeparator" w:id="0">
    <w:p w14:paraId="114B56C5" w14:textId="77777777" w:rsidR="00115907" w:rsidRDefault="0011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669C"/>
    <w:multiLevelType w:val="hybridMultilevel"/>
    <w:tmpl w:val="EB0E1A08"/>
    <w:lvl w:ilvl="0" w:tplc="C53C1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54DF9"/>
    <w:multiLevelType w:val="hybridMultilevel"/>
    <w:tmpl w:val="7CCE86CC"/>
    <w:lvl w:ilvl="0" w:tplc="8DA0A80C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90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03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907"/>
    <w:rsid w:val="0012221A"/>
    <w:rsid w:val="001328A0"/>
    <w:rsid w:val="001339C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DCB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32A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19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52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29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1F6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13E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333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46200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15907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15907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1590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15907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1590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2026-01-16T13:57:00Z</dcterms:modified>
</cp:coreProperties>
</file>