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F9" w:rsidRDefault="00211FF9" w:rsidP="00211F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1FF9" w:rsidRDefault="00211FF9" w:rsidP="00211FF9">
      <w:pPr>
        <w:widowControl w:val="0"/>
        <w:autoSpaceDE w:val="0"/>
        <w:autoSpaceDN w:val="0"/>
        <w:adjustRightInd w:val="0"/>
      </w:pPr>
      <w:r>
        <w:t>AUTHORITY:  Implementing and authorized by the Real Estate Time Share Act [765 ILCS 101]</w:t>
      </w:r>
      <w:r w:rsidR="00880C89">
        <w:t>.</w:t>
      </w:r>
      <w:r>
        <w:t xml:space="preserve"> </w:t>
      </w:r>
    </w:p>
    <w:sectPr w:rsidR="00211FF9" w:rsidSect="00211F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FF9"/>
    <w:rsid w:val="00173FDC"/>
    <w:rsid w:val="00211FF9"/>
    <w:rsid w:val="005C3366"/>
    <w:rsid w:val="00880C89"/>
    <w:rsid w:val="00BB6B92"/>
    <w:rsid w:val="00EB524C"/>
    <w:rsid w:val="00F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Real Estate Time Share Act [765 ILCS 101] (P</vt:lpstr>
    </vt:vector>
  </TitlesOfParts>
  <Company>General Assembly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Real Estate Time Share Act [765 ILCS 101] (P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