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78" w:rsidRDefault="00C20D78" w:rsidP="00C20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E6F" w:rsidRDefault="00C20D78">
      <w:pPr>
        <w:pStyle w:val="JCARMainSourceNote"/>
      </w:pPr>
      <w:r>
        <w:t>SOURCE:  Adopted at 26 Ill. Reg. 1718, effective February 1, 2002</w:t>
      </w:r>
      <w:r w:rsidR="002B4E6F">
        <w:t xml:space="preserve">; emergency amendment at 27 Ill. Reg. </w:t>
      </w:r>
      <w:r w:rsidR="00CF747F">
        <w:t>576</w:t>
      </w:r>
      <w:r w:rsidR="002B4E6F">
        <w:t xml:space="preserve">, effective December 23, 2002, for a maximum of 150 days </w:t>
      </w:r>
    </w:p>
    <w:sectPr w:rsidR="002B4E6F" w:rsidSect="00C20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D78"/>
    <w:rsid w:val="000B6D0C"/>
    <w:rsid w:val="00102CDB"/>
    <w:rsid w:val="002A1F86"/>
    <w:rsid w:val="002B4E6F"/>
    <w:rsid w:val="00586609"/>
    <w:rsid w:val="005C3366"/>
    <w:rsid w:val="009A4BE6"/>
    <w:rsid w:val="00C20D78"/>
    <w:rsid w:val="00C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B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B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