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4E" w:rsidRDefault="007E654E" w:rsidP="007E65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54E" w:rsidRDefault="007E654E" w:rsidP="007E654E">
      <w:pPr>
        <w:widowControl w:val="0"/>
        <w:autoSpaceDE w:val="0"/>
        <w:autoSpaceDN w:val="0"/>
        <w:adjustRightInd w:val="0"/>
        <w:jc w:val="center"/>
      </w:pPr>
      <w:r>
        <w:t>SUBPART B:  DIAGNOSTIC TOPICAL OCULAR PHARMACEUTICALS</w:t>
      </w:r>
    </w:p>
    <w:sectPr w:rsidR="007E654E" w:rsidSect="007E654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54E"/>
    <w:rsid w:val="002069A4"/>
    <w:rsid w:val="004E4B8F"/>
    <w:rsid w:val="007E654E"/>
    <w:rsid w:val="00A23DEB"/>
    <w:rsid w:val="00F7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DIAGNOSTIC TOPICAL OCULAR PHARMACEUTICALS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DIAGNOSTIC TOPICAL OCULAR PHARMACEUTICALS</dc:title>
  <dc:subject/>
  <dc:creator>ThomasVD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