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59" w:rsidRDefault="00307C59" w:rsidP="00307C59"/>
    <w:p w:rsidR="00307C59" w:rsidRPr="00307C59" w:rsidRDefault="00307C59" w:rsidP="00307C59">
      <w:pPr>
        <w:rPr>
          <w:b/>
        </w:rPr>
      </w:pPr>
      <w:r w:rsidRPr="00307C59">
        <w:rPr>
          <w:b/>
        </w:rPr>
        <w:t xml:space="preserve">Section 1120.55 </w:t>
      </w:r>
      <w:r>
        <w:rPr>
          <w:b/>
        </w:rPr>
        <w:t xml:space="preserve"> </w:t>
      </w:r>
      <w:r w:rsidRPr="00307C59">
        <w:rPr>
          <w:b/>
        </w:rPr>
        <w:t>Public Comments</w:t>
      </w:r>
    </w:p>
    <w:p w:rsidR="00307C59" w:rsidRPr="00307C59" w:rsidRDefault="00307C59" w:rsidP="00307C59"/>
    <w:p w:rsidR="00307C59" w:rsidRPr="00307C59" w:rsidRDefault="00307C59" w:rsidP="00307C59">
      <w:pPr>
        <w:ind w:left="1440" w:hanging="720"/>
      </w:pPr>
      <w:r w:rsidRPr="00307C59">
        <w:t>a)</w:t>
      </w:r>
      <w:r w:rsidRPr="00307C59">
        <w:tab/>
        <w:t xml:space="preserve">Pursuant to Section 2.06(g) of the Act, any person shall be permitted an opportunity to address the </w:t>
      </w:r>
      <w:r w:rsidR="00875FAA">
        <w:t>c</w:t>
      </w:r>
      <w:r w:rsidRPr="00307C59">
        <w:t xml:space="preserve">ommittee or </w:t>
      </w:r>
      <w:r w:rsidR="00875FAA">
        <w:t>b</w:t>
      </w:r>
      <w:r w:rsidRPr="00307C59">
        <w:t>oard so long as the person</w:t>
      </w:r>
      <w:r w:rsidR="006248E0">
        <w:t>'</w:t>
      </w:r>
      <w:r w:rsidRPr="00307C59">
        <w:t>s public comments:</w:t>
      </w:r>
    </w:p>
    <w:p w:rsidR="00307C59" w:rsidRPr="00307C59" w:rsidRDefault="00307C59" w:rsidP="00307C59">
      <w:pPr>
        <w:ind w:left="1440" w:hanging="720"/>
      </w:pPr>
    </w:p>
    <w:p w:rsidR="00307C59" w:rsidRPr="00307C59" w:rsidRDefault="00307C59" w:rsidP="00307C59">
      <w:pPr>
        <w:ind w:left="2160" w:hanging="720"/>
      </w:pPr>
      <w:r w:rsidRPr="00307C59">
        <w:t>1)</w:t>
      </w:r>
      <w:r w:rsidRPr="00307C59">
        <w:tab/>
        <w:t>preserve the decorum of the meeting;</w:t>
      </w:r>
    </w:p>
    <w:p w:rsidR="00307C59" w:rsidRPr="00307C59" w:rsidRDefault="00307C59" w:rsidP="00307C59">
      <w:pPr>
        <w:ind w:left="2160" w:hanging="720"/>
      </w:pPr>
    </w:p>
    <w:p w:rsidR="00307C59" w:rsidRPr="00307C59" w:rsidRDefault="00307C59" w:rsidP="00307C59">
      <w:pPr>
        <w:ind w:left="2160" w:hanging="720"/>
      </w:pPr>
      <w:r w:rsidRPr="00307C59">
        <w:t>2)</w:t>
      </w:r>
      <w:r w:rsidRPr="00307C59">
        <w:tab/>
        <w:t xml:space="preserve">are reasonably related to the </w:t>
      </w:r>
      <w:r w:rsidR="00875FAA">
        <w:t>c</w:t>
      </w:r>
      <w:r w:rsidRPr="00307C59">
        <w:t>ommittee</w:t>
      </w:r>
      <w:r w:rsidR="00875FAA">
        <w:t>'s</w:t>
      </w:r>
      <w:r w:rsidRPr="00307C59">
        <w:t xml:space="preserve"> or </w:t>
      </w:r>
      <w:r w:rsidR="00875FAA">
        <w:t>b</w:t>
      </w:r>
      <w:r w:rsidRPr="00307C59">
        <w:t>oard</w:t>
      </w:r>
      <w:r w:rsidR="006248E0">
        <w:t>'</w:t>
      </w:r>
      <w:r w:rsidRPr="00307C59">
        <w:t>s agenda and/or scope of</w:t>
      </w:r>
      <w:r>
        <w:t xml:space="preserve"> </w:t>
      </w:r>
      <w:r w:rsidRPr="00307C59">
        <w:t xml:space="preserve">regulatory authority, as determined by the </w:t>
      </w:r>
      <w:r w:rsidR="00875FAA">
        <w:t>c</w:t>
      </w:r>
      <w:r w:rsidRPr="00307C59">
        <w:t xml:space="preserve">ommittee or </w:t>
      </w:r>
      <w:r w:rsidR="00875FAA">
        <w:t>b</w:t>
      </w:r>
      <w:r w:rsidRPr="00307C59">
        <w:t>oard;</w:t>
      </w:r>
    </w:p>
    <w:p w:rsidR="00307C59" w:rsidRPr="00307C59" w:rsidRDefault="00307C59" w:rsidP="00307C59">
      <w:pPr>
        <w:ind w:left="2160" w:hanging="720"/>
      </w:pPr>
    </w:p>
    <w:p w:rsidR="00307C59" w:rsidRPr="00307C59" w:rsidRDefault="00307C59" w:rsidP="00307C59">
      <w:pPr>
        <w:ind w:left="2160" w:hanging="720"/>
      </w:pPr>
      <w:r w:rsidRPr="00307C59">
        <w:t>3)</w:t>
      </w:r>
      <w:r w:rsidRPr="00307C59">
        <w:tab/>
        <w:t>are limited to a reasonable period of time, not to exceed 3 minutes unless</w:t>
      </w:r>
      <w:r>
        <w:t xml:space="preserve"> </w:t>
      </w:r>
      <w:r w:rsidRPr="00307C59">
        <w:t xml:space="preserve">the </w:t>
      </w:r>
      <w:r w:rsidR="00875FAA">
        <w:t>c</w:t>
      </w:r>
      <w:r w:rsidRPr="00307C59">
        <w:t xml:space="preserve">ommittee or </w:t>
      </w:r>
      <w:r w:rsidR="00875FAA">
        <w:t>b</w:t>
      </w:r>
      <w:r w:rsidRPr="00307C59">
        <w:t>oard gives permission to exceed this time limit.</w:t>
      </w:r>
    </w:p>
    <w:p w:rsidR="00307C59" w:rsidRPr="00307C59" w:rsidRDefault="00307C59" w:rsidP="00307C59">
      <w:pPr>
        <w:ind w:left="1440" w:hanging="720"/>
      </w:pPr>
    </w:p>
    <w:p w:rsidR="00307C59" w:rsidRPr="00307C59" w:rsidRDefault="00307C59" w:rsidP="00307C59">
      <w:pPr>
        <w:ind w:left="1440" w:hanging="720"/>
      </w:pPr>
      <w:r w:rsidRPr="00307C59">
        <w:t>b)</w:t>
      </w:r>
      <w:r w:rsidRPr="00307C59">
        <w:tab/>
        <w:t>Pursuant to Section 2.06(g) of the Act, members of the public shall provide</w:t>
      </w:r>
      <w:r>
        <w:t xml:space="preserve"> </w:t>
      </w:r>
      <w:r w:rsidRPr="00307C59">
        <w:t xml:space="preserve">at least 2 days notice of intent to address a </w:t>
      </w:r>
      <w:r w:rsidR="00875FAA">
        <w:t>c</w:t>
      </w:r>
      <w:r w:rsidRPr="00307C59">
        <w:t xml:space="preserve">ommittee or </w:t>
      </w:r>
      <w:r w:rsidR="00875FAA">
        <w:t>b</w:t>
      </w:r>
      <w:r w:rsidRPr="00307C59">
        <w:t>oard, unless the</w:t>
      </w:r>
      <w:r>
        <w:t xml:space="preserve"> </w:t>
      </w:r>
      <w:r w:rsidR="00875FAA">
        <w:t>c</w:t>
      </w:r>
      <w:r w:rsidRPr="00307C59">
        <w:t xml:space="preserve">ommittee or </w:t>
      </w:r>
      <w:r w:rsidR="00875FAA">
        <w:t>b</w:t>
      </w:r>
      <w:r w:rsidRPr="00307C59">
        <w:t>oard diminishes or waives this notice requirement.</w:t>
      </w:r>
    </w:p>
    <w:p w:rsidR="000174EB" w:rsidRDefault="000174EB" w:rsidP="00093935"/>
    <w:p w:rsidR="00307C59" w:rsidRPr="00093935" w:rsidRDefault="00307C59" w:rsidP="00307C59">
      <w:pPr>
        <w:ind w:left="720"/>
      </w:pPr>
      <w:r>
        <w:t>(Source:  Added at 4</w:t>
      </w:r>
      <w:r w:rsidR="00972BB3">
        <w:t>1</w:t>
      </w:r>
      <w:r>
        <w:t xml:space="preserve"> Ill. Reg. </w:t>
      </w:r>
      <w:r w:rsidR="00186AFE">
        <w:t>976</w:t>
      </w:r>
      <w:r>
        <w:t xml:space="preserve">, effective </w:t>
      </w:r>
      <w:bookmarkStart w:id="0" w:name="_GoBack"/>
      <w:r w:rsidR="00186AFE">
        <w:t>January 27, 2017</w:t>
      </w:r>
      <w:bookmarkEnd w:id="0"/>
      <w:r>
        <w:t>)</w:t>
      </w:r>
    </w:p>
    <w:sectPr w:rsidR="00307C5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C1" w:rsidRDefault="00676DC1">
      <w:r>
        <w:separator/>
      </w:r>
    </w:p>
  </w:endnote>
  <w:endnote w:type="continuationSeparator" w:id="0">
    <w:p w:rsidR="00676DC1" w:rsidRDefault="0067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C1" w:rsidRDefault="00676DC1">
      <w:r>
        <w:separator/>
      </w:r>
    </w:p>
  </w:footnote>
  <w:footnote w:type="continuationSeparator" w:id="0">
    <w:p w:rsidR="00676DC1" w:rsidRDefault="0067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AFE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C59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3C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48E0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6DC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FA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BB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C5392-6CF9-4B0C-A069-BB8753B7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C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2017-01-03T15:23:00Z</dcterms:created>
  <dcterms:modified xsi:type="dcterms:W3CDTF">2017-02-07T21:41:00Z</dcterms:modified>
</cp:coreProperties>
</file>