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5C" w:rsidRDefault="00D8055C" w:rsidP="00D805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55C" w:rsidRDefault="00D8055C" w:rsidP="00D8055C">
      <w:pPr>
        <w:widowControl w:val="0"/>
        <w:autoSpaceDE w:val="0"/>
        <w:autoSpaceDN w:val="0"/>
        <w:adjustRightInd w:val="0"/>
      </w:pPr>
      <w:r>
        <w:t xml:space="preserve">AUTHORITY:  Implementing and authorized by the Surface Mining Control and Reclamation Act of 1977 (30 U.S.C. 1201 et seq.; and 30 CFR 816, 817 and 850) and the Surface Coal Mining Land Conservation and Reclamation Act [225 ILCS 720]. </w:t>
      </w:r>
    </w:p>
    <w:sectPr w:rsidR="00D8055C" w:rsidSect="00D805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55C"/>
    <w:rsid w:val="000F35B8"/>
    <w:rsid w:val="005C3366"/>
    <w:rsid w:val="00997B1D"/>
    <w:rsid w:val="00C175FC"/>
    <w:rsid w:val="00D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Mining Control and Reclamation Act of 1977 (30 U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Mining Control and Reclamation Act of 1977 (30 U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