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A7" w:rsidRDefault="00277BA7" w:rsidP="00277BA7">
      <w:pPr>
        <w:widowControl w:val="0"/>
        <w:autoSpaceDE w:val="0"/>
        <w:autoSpaceDN w:val="0"/>
        <w:adjustRightInd w:val="0"/>
      </w:pPr>
      <w:bookmarkStart w:id="0" w:name="_GoBack"/>
      <w:bookmarkEnd w:id="0"/>
    </w:p>
    <w:p w:rsidR="00277BA7" w:rsidRDefault="00277BA7" w:rsidP="00277BA7">
      <w:pPr>
        <w:widowControl w:val="0"/>
        <w:autoSpaceDE w:val="0"/>
        <w:autoSpaceDN w:val="0"/>
        <w:adjustRightInd w:val="0"/>
      </w:pPr>
      <w:r>
        <w:rPr>
          <w:b/>
          <w:bCs/>
        </w:rPr>
        <w:t>Section 1817.47  Hydrologic Balance: Discharge Structures</w:t>
      </w:r>
      <w:r>
        <w:t xml:space="preserve"> </w:t>
      </w:r>
    </w:p>
    <w:p w:rsidR="00277BA7" w:rsidRDefault="00277BA7" w:rsidP="00277BA7">
      <w:pPr>
        <w:widowControl w:val="0"/>
        <w:autoSpaceDE w:val="0"/>
        <w:autoSpaceDN w:val="0"/>
        <w:adjustRightInd w:val="0"/>
      </w:pPr>
    </w:p>
    <w:p w:rsidR="00277BA7" w:rsidRDefault="00277BA7" w:rsidP="00277BA7">
      <w:pPr>
        <w:widowControl w:val="0"/>
        <w:autoSpaceDE w:val="0"/>
        <w:autoSpaceDN w:val="0"/>
        <w:adjustRightInd w:val="0"/>
      </w:pPr>
      <w:r>
        <w:t xml:space="preserve">Discharge from sedimentation ponds, permanent and temporary impoundments, coal processing waste dams and embankments, and diversions shall be controlled, by energy dissipators, riprap channels, and other devices, where necessary, to reduce erosion, to prevent deepening or enlargement of stream channels, and to minimize disturbance of the hydrologic balance.  Discharge structures shall be designed according to standard engineering design procedures. </w:t>
      </w:r>
    </w:p>
    <w:sectPr w:rsidR="00277BA7" w:rsidSect="00277B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7BA7"/>
    <w:rsid w:val="00277BA7"/>
    <w:rsid w:val="005C3366"/>
    <w:rsid w:val="009F3E14"/>
    <w:rsid w:val="00B50689"/>
    <w:rsid w:val="00F9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