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175" w:rsidRDefault="007C2175" w:rsidP="007C217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2175" w:rsidRDefault="007C2175" w:rsidP="007C217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240.300  Applicability</w:t>
      </w:r>
      <w:r>
        <w:t xml:space="preserve"> </w:t>
      </w:r>
    </w:p>
    <w:p w:rsidR="007C2175" w:rsidRDefault="007C2175" w:rsidP="007C2175">
      <w:pPr>
        <w:widowControl w:val="0"/>
        <w:autoSpaceDE w:val="0"/>
        <w:autoSpaceDN w:val="0"/>
        <w:adjustRightInd w:val="0"/>
      </w:pPr>
    </w:p>
    <w:p w:rsidR="007C2175" w:rsidRDefault="007C2175" w:rsidP="007C2175">
      <w:pPr>
        <w:widowControl w:val="0"/>
        <w:autoSpaceDE w:val="0"/>
        <w:autoSpaceDN w:val="0"/>
        <w:adjustRightInd w:val="0"/>
      </w:pPr>
      <w:r>
        <w:t xml:space="preserve">The provisions of this Subpart apply to Injection, Disposal and Commercial Disposal Class II UIC wells. </w:t>
      </w:r>
    </w:p>
    <w:p w:rsidR="007C2175" w:rsidRDefault="007C2175" w:rsidP="007C2175">
      <w:pPr>
        <w:widowControl w:val="0"/>
        <w:autoSpaceDE w:val="0"/>
        <w:autoSpaceDN w:val="0"/>
        <w:adjustRightInd w:val="0"/>
      </w:pPr>
    </w:p>
    <w:p w:rsidR="007C2175" w:rsidRDefault="007C2175" w:rsidP="007C217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19 Ill. Reg. 10981, effective July 14, 1995) </w:t>
      </w:r>
    </w:p>
    <w:sectPr w:rsidR="007C2175" w:rsidSect="007C21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2175"/>
    <w:rsid w:val="00071099"/>
    <w:rsid w:val="0059193B"/>
    <w:rsid w:val="005C3366"/>
    <w:rsid w:val="00775F34"/>
    <w:rsid w:val="007C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2012-06-21T20:47:00Z</dcterms:created>
  <dcterms:modified xsi:type="dcterms:W3CDTF">2012-06-21T20:47:00Z</dcterms:modified>
</cp:coreProperties>
</file>