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D6" w:rsidRDefault="00612DD6" w:rsidP="00612DD6">
      <w:pPr>
        <w:widowControl w:val="0"/>
        <w:autoSpaceDE w:val="0"/>
        <w:autoSpaceDN w:val="0"/>
        <w:adjustRightInd w:val="0"/>
      </w:pPr>
      <w:bookmarkStart w:id="0" w:name="_GoBack"/>
      <w:bookmarkEnd w:id="0"/>
    </w:p>
    <w:p w:rsidR="00612DD6" w:rsidRDefault="00612DD6" w:rsidP="00612DD6">
      <w:pPr>
        <w:widowControl w:val="0"/>
        <w:autoSpaceDE w:val="0"/>
        <w:autoSpaceDN w:val="0"/>
        <w:adjustRightInd w:val="0"/>
      </w:pPr>
      <w:r>
        <w:rPr>
          <w:b/>
          <w:bCs/>
        </w:rPr>
        <w:t>Section 220.120  Mine Maps</w:t>
      </w:r>
      <w:r>
        <w:t xml:space="preserve"> </w:t>
      </w:r>
    </w:p>
    <w:p w:rsidR="00612DD6" w:rsidRDefault="00612DD6" w:rsidP="00612DD6">
      <w:pPr>
        <w:widowControl w:val="0"/>
        <w:autoSpaceDE w:val="0"/>
        <w:autoSpaceDN w:val="0"/>
        <w:adjustRightInd w:val="0"/>
      </w:pPr>
    </w:p>
    <w:p w:rsidR="00612DD6" w:rsidRDefault="00612DD6" w:rsidP="00612DD6">
      <w:pPr>
        <w:widowControl w:val="0"/>
        <w:autoSpaceDE w:val="0"/>
        <w:autoSpaceDN w:val="0"/>
        <w:adjustRightInd w:val="0"/>
      </w:pPr>
      <w:r>
        <w:t xml:space="preserve">The mine maps required by 30 CFR 77.1200, 77.1201, and 77.1202, shall be maintained at the mine, shall be available for inspection by authorized representatives of the Department and authorized representatives of the miners, and shall be addressed and forwarded to the Department's main office in Springfield. </w:t>
      </w:r>
    </w:p>
    <w:sectPr w:rsidR="00612DD6" w:rsidSect="00612D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2DD6"/>
    <w:rsid w:val="005C3366"/>
    <w:rsid w:val="00612DD6"/>
    <w:rsid w:val="006D2594"/>
    <w:rsid w:val="009D3126"/>
    <w:rsid w:val="00C710D0"/>
    <w:rsid w:val="00CC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