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41547" w14:textId="77777777" w:rsidR="000F1F92" w:rsidRDefault="000F1F92" w:rsidP="000F1F92">
      <w:pPr>
        <w:tabs>
          <w:tab w:val="left" w:pos="-1440"/>
        </w:tabs>
        <w:spacing w:line="246" w:lineRule="auto"/>
        <w:rPr>
          <w:b/>
          <w:bCs/>
        </w:rPr>
      </w:pPr>
    </w:p>
    <w:p w14:paraId="36D127D9" w14:textId="77777777" w:rsidR="000F1F92" w:rsidRPr="00936726" w:rsidRDefault="000F1F92" w:rsidP="000F1F92">
      <w:pPr>
        <w:tabs>
          <w:tab w:val="left" w:pos="-1440"/>
        </w:tabs>
        <w:spacing w:line="246" w:lineRule="auto"/>
        <w:rPr>
          <w:b/>
          <w:bCs/>
        </w:rPr>
      </w:pPr>
      <w:r w:rsidRPr="00936726">
        <w:rPr>
          <w:b/>
          <w:bCs/>
        </w:rPr>
        <w:t>Section 200.925  Notice of Violation</w:t>
      </w:r>
    </w:p>
    <w:p w14:paraId="10F28E9F" w14:textId="77777777" w:rsidR="000F1F92" w:rsidRPr="0014696A" w:rsidRDefault="000F1F92" w:rsidP="000F1F92">
      <w:pPr>
        <w:spacing w:line="246" w:lineRule="auto"/>
        <w:rPr>
          <w:bCs/>
        </w:rPr>
      </w:pPr>
    </w:p>
    <w:p w14:paraId="4456149F" w14:textId="623171B4" w:rsidR="000F1F92" w:rsidRPr="001138ED" w:rsidRDefault="000F1F92" w:rsidP="000F1F92">
      <w:pPr>
        <w:tabs>
          <w:tab w:val="left" w:pos="-1440"/>
        </w:tabs>
        <w:spacing w:line="246" w:lineRule="auto"/>
        <w:ind w:left="1440" w:hanging="720"/>
        <w:rPr>
          <w:bCs/>
        </w:rPr>
      </w:pPr>
      <w:r w:rsidRPr="001138ED">
        <w:rPr>
          <w:bCs/>
        </w:rPr>
        <w:t>a)</w:t>
      </w:r>
      <w:r>
        <w:rPr>
          <w:bCs/>
        </w:rPr>
        <w:tab/>
      </w:r>
      <w:r w:rsidRPr="001138ED">
        <w:rPr>
          <w:bCs/>
        </w:rPr>
        <w:t xml:space="preserve">An authorized representative of the Department shall issue a notice of violation if </w:t>
      </w:r>
      <w:r w:rsidR="005A0F29">
        <w:rPr>
          <w:bCs/>
        </w:rPr>
        <w:t>the Department determines</w:t>
      </w:r>
      <w:r w:rsidRPr="001138ED">
        <w:rPr>
          <w:bCs/>
        </w:rPr>
        <w:t xml:space="preserve"> that any person is in violation of the Act</w:t>
      </w:r>
      <w:r>
        <w:rPr>
          <w:bCs/>
        </w:rPr>
        <w:t>,</w:t>
      </w:r>
      <w:r w:rsidRPr="001138ED">
        <w:rPr>
          <w:bCs/>
        </w:rPr>
        <w:t xml:space="preserve"> </w:t>
      </w:r>
      <w:r w:rsidR="00811BBB">
        <w:rPr>
          <w:bCs/>
        </w:rPr>
        <w:t xml:space="preserve">this Part </w:t>
      </w:r>
      <w:r w:rsidRPr="001138ED">
        <w:rPr>
          <w:bCs/>
        </w:rPr>
        <w:t>or any term or condition of an</w:t>
      </w:r>
      <w:r w:rsidR="0020740A">
        <w:rPr>
          <w:bCs/>
        </w:rPr>
        <w:t>y</w:t>
      </w:r>
      <w:r w:rsidRPr="001138ED">
        <w:rPr>
          <w:bCs/>
        </w:rPr>
        <w:t xml:space="preserve"> explosives license or storage certificate.</w:t>
      </w:r>
    </w:p>
    <w:p w14:paraId="3561EDB5" w14:textId="77777777" w:rsidR="000F1F92" w:rsidRPr="001138ED" w:rsidRDefault="000F1F92" w:rsidP="000F1F92">
      <w:pPr>
        <w:spacing w:line="246" w:lineRule="auto"/>
        <w:rPr>
          <w:bCs/>
        </w:rPr>
      </w:pPr>
    </w:p>
    <w:p w14:paraId="08E8F959" w14:textId="77777777" w:rsidR="000F1F92" w:rsidRPr="001138ED" w:rsidRDefault="000F1F92" w:rsidP="000F1F92">
      <w:pPr>
        <w:tabs>
          <w:tab w:val="left" w:pos="-1440"/>
        </w:tabs>
        <w:spacing w:line="246" w:lineRule="auto"/>
        <w:ind w:left="1440" w:hanging="720"/>
        <w:rPr>
          <w:bCs/>
        </w:rPr>
      </w:pPr>
      <w:r w:rsidRPr="001138ED">
        <w:rPr>
          <w:bCs/>
        </w:rPr>
        <w:t>b)</w:t>
      </w:r>
      <w:r>
        <w:rPr>
          <w:bCs/>
        </w:rPr>
        <w:tab/>
      </w:r>
      <w:r w:rsidRPr="001138ED">
        <w:rPr>
          <w:bCs/>
        </w:rPr>
        <w:t xml:space="preserve">A notice of violation issued under this Section shall be in writing, </w:t>
      </w:r>
      <w:r w:rsidR="00811BBB">
        <w:rPr>
          <w:bCs/>
        </w:rPr>
        <w:t xml:space="preserve">shall be </w:t>
      </w:r>
      <w:r w:rsidRPr="001138ED">
        <w:rPr>
          <w:bCs/>
        </w:rPr>
        <w:t>signed by the authorized representative who issued it, and shall set forth with reasonable specificity:</w:t>
      </w:r>
    </w:p>
    <w:p w14:paraId="6CB26E79" w14:textId="77777777" w:rsidR="000F1F92" w:rsidRPr="001138ED" w:rsidRDefault="000F1F92" w:rsidP="000F1F92">
      <w:pPr>
        <w:spacing w:line="246" w:lineRule="auto"/>
        <w:rPr>
          <w:bCs/>
        </w:rPr>
      </w:pPr>
    </w:p>
    <w:p w14:paraId="1444F911" w14:textId="77777777" w:rsidR="000F1F92" w:rsidRPr="001138ED" w:rsidRDefault="000F1F92" w:rsidP="000F1F92">
      <w:pPr>
        <w:spacing w:line="246" w:lineRule="auto"/>
        <w:ind w:firstLine="1440"/>
        <w:rPr>
          <w:bCs/>
        </w:rPr>
      </w:pPr>
      <w:r w:rsidRPr="001138ED">
        <w:rPr>
          <w:bCs/>
        </w:rPr>
        <w:t>1)</w:t>
      </w:r>
      <w:r>
        <w:rPr>
          <w:bCs/>
        </w:rPr>
        <w:tab/>
      </w:r>
      <w:r w:rsidRPr="001138ED">
        <w:rPr>
          <w:bCs/>
        </w:rPr>
        <w:t>The nature of the violation;</w:t>
      </w:r>
    </w:p>
    <w:p w14:paraId="3513C43D" w14:textId="77777777" w:rsidR="000F1F92" w:rsidRPr="001138ED" w:rsidRDefault="000F1F92" w:rsidP="000F1F92">
      <w:pPr>
        <w:spacing w:line="246" w:lineRule="auto"/>
        <w:rPr>
          <w:bCs/>
        </w:rPr>
      </w:pPr>
    </w:p>
    <w:p w14:paraId="525C2170" w14:textId="77777777" w:rsidR="000F1F92" w:rsidRPr="001138ED" w:rsidRDefault="000F1F92" w:rsidP="000F1F92">
      <w:pPr>
        <w:tabs>
          <w:tab w:val="left" w:pos="-1440"/>
        </w:tabs>
        <w:spacing w:line="246" w:lineRule="auto"/>
        <w:ind w:left="2160" w:hanging="720"/>
        <w:rPr>
          <w:bCs/>
        </w:rPr>
      </w:pPr>
      <w:r w:rsidRPr="001138ED">
        <w:rPr>
          <w:bCs/>
        </w:rPr>
        <w:t>2)</w:t>
      </w:r>
      <w:r>
        <w:rPr>
          <w:bCs/>
        </w:rPr>
        <w:tab/>
        <w:t>Statutory citations</w:t>
      </w:r>
      <w:r w:rsidRPr="001138ED">
        <w:rPr>
          <w:bCs/>
        </w:rPr>
        <w:t xml:space="preserve"> an</w:t>
      </w:r>
      <w:r>
        <w:rPr>
          <w:bCs/>
        </w:rPr>
        <w:t>d/or administrative regulations</w:t>
      </w:r>
      <w:r w:rsidRPr="001138ED">
        <w:rPr>
          <w:bCs/>
        </w:rPr>
        <w:t xml:space="preserve"> violated;</w:t>
      </w:r>
    </w:p>
    <w:p w14:paraId="337BB841" w14:textId="77777777" w:rsidR="000F1F92" w:rsidRPr="001138ED" w:rsidRDefault="000F1F92" w:rsidP="000F1F92">
      <w:pPr>
        <w:spacing w:line="246" w:lineRule="auto"/>
        <w:rPr>
          <w:bCs/>
        </w:rPr>
      </w:pPr>
    </w:p>
    <w:p w14:paraId="2C58650A" w14:textId="77777777" w:rsidR="000F1F92" w:rsidRPr="001138ED" w:rsidRDefault="000F1F92" w:rsidP="000F1F92">
      <w:pPr>
        <w:tabs>
          <w:tab w:val="left" w:pos="-1440"/>
        </w:tabs>
        <w:spacing w:line="246" w:lineRule="auto"/>
        <w:ind w:left="2160" w:hanging="720"/>
        <w:rPr>
          <w:bCs/>
        </w:rPr>
      </w:pPr>
      <w:r w:rsidRPr="001138ED">
        <w:rPr>
          <w:bCs/>
        </w:rPr>
        <w:t>3)</w:t>
      </w:r>
      <w:r>
        <w:rPr>
          <w:bCs/>
        </w:rPr>
        <w:tab/>
      </w:r>
      <w:r w:rsidRPr="001138ED">
        <w:rPr>
          <w:bCs/>
        </w:rPr>
        <w:t xml:space="preserve">If any remedial action is required or possible, </w:t>
      </w:r>
      <w:r w:rsidR="00811BBB">
        <w:rPr>
          <w:bCs/>
        </w:rPr>
        <w:t xml:space="preserve">any </w:t>
      </w:r>
      <w:r w:rsidRPr="001138ED">
        <w:rPr>
          <w:bCs/>
        </w:rPr>
        <w:t>interim steps;</w:t>
      </w:r>
    </w:p>
    <w:p w14:paraId="5628F8CA" w14:textId="77777777" w:rsidR="000F1F92" w:rsidRPr="001138ED" w:rsidRDefault="000F1F92" w:rsidP="000F1F92">
      <w:pPr>
        <w:spacing w:line="246" w:lineRule="auto"/>
        <w:rPr>
          <w:bCs/>
        </w:rPr>
      </w:pPr>
    </w:p>
    <w:p w14:paraId="7CDD3425" w14:textId="77777777" w:rsidR="000F1F92" w:rsidRPr="001138ED" w:rsidRDefault="000F1F92" w:rsidP="000F1F92">
      <w:pPr>
        <w:tabs>
          <w:tab w:val="left" w:pos="-1440"/>
        </w:tabs>
        <w:spacing w:line="246" w:lineRule="auto"/>
        <w:ind w:left="2160" w:hanging="720"/>
        <w:rPr>
          <w:bCs/>
        </w:rPr>
      </w:pPr>
      <w:r w:rsidRPr="001138ED">
        <w:rPr>
          <w:bCs/>
        </w:rPr>
        <w:t>4)</w:t>
      </w:r>
      <w:r>
        <w:rPr>
          <w:bCs/>
        </w:rPr>
        <w:tab/>
      </w:r>
      <w:r w:rsidRPr="001138ED">
        <w:rPr>
          <w:bCs/>
        </w:rPr>
        <w:t>If remedial action is required, a reasonable time for abatement, includ</w:t>
      </w:r>
      <w:r>
        <w:rPr>
          <w:bCs/>
        </w:rPr>
        <w:t>ing</w:t>
      </w:r>
      <w:r w:rsidRPr="001138ED">
        <w:rPr>
          <w:bCs/>
        </w:rPr>
        <w:t xml:space="preserve"> time for accomplishment </w:t>
      </w:r>
      <w:r>
        <w:rPr>
          <w:bCs/>
        </w:rPr>
        <w:t>of interim steps</w:t>
      </w:r>
      <w:r w:rsidRPr="001138ED">
        <w:rPr>
          <w:bCs/>
        </w:rPr>
        <w:t xml:space="preserve"> and for completion of all actions necessary to address the violation</w:t>
      </w:r>
      <w:r w:rsidR="0058220E">
        <w:rPr>
          <w:bCs/>
        </w:rPr>
        <w:t>;</w:t>
      </w:r>
    </w:p>
    <w:p w14:paraId="4D267CAE" w14:textId="77777777" w:rsidR="000F1F92" w:rsidRPr="001138ED" w:rsidRDefault="000F1F92" w:rsidP="000F1F92">
      <w:pPr>
        <w:spacing w:line="246" w:lineRule="auto"/>
        <w:rPr>
          <w:bCs/>
        </w:rPr>
      </w:pPr>
    </w:p>
    <w:p w14:paraId="588A082F" w14:textId="77777777" w:rsidR="000F1F92" w:rsidRPr="001138ED" w:rsidRDefault="000F1F92" w:rsidP="000F1F92">
      <w:pPr>
        <w:tabs>
          <w:tab w:val="left" w:pos="-1440"/>
        </w:tabs>
        <w:spacing w:line="246" w:lineRule="auto"/>
        <w:ind w:left="2160" w:hanging="720"/>
        <w:rPr>
          <w:bCs/>
        </w:rPr>
      </w:pPr>
      <w:r w:rsidRPr="001138ED">
        <w:rPr>
          <w:bCs/>
        </w:rPr>
        <w:t>5)</w:t>
      </w:r>
      <w:r>
        <w:rPr>
          <w:bCs/>
        </w:rPr>
        <w:tab/>
      </w:r>
      <w:r w:rsidRPr="001138ED">
        <w:rPr>
          <w:bCs/>
        </w:rPr>
        <w:t xml:space="preserve">A reasonable description of the </w:t>
      </w:r>
      <w:r w:rsidR="00C97DF0">
        <w:rPr>
          <w:bCs/>
        </w:rPr>
        <w:t xml:space="preserve">statutory </w:t>
      </w:r>
      <w:r w:rsidR="00E31567">
        <w:rPr>
          <w:bCs/>
        </w:rPr>
        <w:t xml:space="preserve">provisions </w:t>
      </w:r>
      <w:r w:rsidRPr="001138ED">
        <w:rPr>
          <w:bCs/>
        </w:rPr>
        <w:t xml:space="preserve">to which </w:t>
      </w:r>
      <w:r w:rsidR="00811BBB">
        <w:rPr>
          <w:bCs/>
        </w:rPr>
        <w:t>the notice of violation</w:t>
      </w:r>
      <w:r w:rsidRPr="001138ED">
        <w:rPr>
          <w:bCs/>
        </w:rPr>
        <w:t xml:space="preserve"> applies.</w:t>
      </w:r>
    </w:p>
    <w:p w14:paraId="4268DF45" w14:textId="77777777" w:rsidR="000F1F92" w:rsidRPr="001138ED" w:rsidRDefault="000F1F92" w:rsidP="000F1F92">
      <w:pPr>
        <w:spacing w:line="246" w:lineRule="auto"/>
        <w:rPr>
          <w:bCs/>
        </w:rPr>
      </w:pPr>
    </w:p>
    <w:p w14:paraId="4C4A3EFF" w14:textId="1DE3ECAC" w:rsidR="000F1F92" w:rsidRPr="001138ED" w:rsidRDefault="000F1F92" w:rsidP="000F1F92">
      <w:pPr>
        <w:tabs>
          <w:tab w:val="left" w:pos="-1440"/>
        </w:tabs>
        <w:spacing w:line="246" w:lineRule="auto"/>
        <w:ind w:left="1440" w:hanging="720"/>
        <w:rPr>
          <w:bCs/>
        </w:rPr>
      </w:pPr>
      <w:r w:rsidRPr="001138ED">
        <w:rPr>
          <w:bCs/>
        </w:rPr>
        <w:t>c)</w:t>
      </w:r>
      <w:r>
        <w:rPr>
          <w:bCs/>
        </w:rPr>
        <w:tab/>
      </w:r>
      <w:r w:rsidRPr="001138ED">
        <w:rPr>
          <w:bCs/>
        </w:rPr>
        <w:t>A notice of violation shall be served upon the person</w:t>
      </w:r>
      <w:r w:rsidR="00357FBE">
        <w:rPr>
          <w:bCs/>
        </w:rPr>
        <w:t>, any individual in the residence,</w:t>
      </w:r>
      <w:r w:rsidRPr="001138ED">
        <w:rPr>
          <w:bCs/>
        </w:rPr>
        <w:t xml:space="preserve"> or an agent of the person, if </w:t>
      </w:r>
      <w:r w:rsidR="00357FBE">
        <w:rPr>
          <w:bCs/>
        </w:rPr>
        <w:t>any</w:t>
      </w:r>
      <w:r w:rsidRPr="001138ED">
        <w:rPr>
          <w:bCs/>
        </w:rPr>
        <w:t xml:space="preserve"> is present on site.  If the person, or person</w:t>
      </w:r>
      <w:r w:rsidR="00811BBB">
        <w:rPr>
          <w:bCs/>
        </w:rPr>
        <w:t>'</w:t>
      </w:r>
      <w:r w:rsidRPr="001138ED">
        <w:rPr>
          <w:bCs/>
        </w:rPr>
        <w:t>s agent</w:t>
      </w:r>
      <w:r w:rsidR="00EE1103">
        <w:rPr>
          <w:bCs/>
        </w:rPr>
        <w:t>,</w:t>
      </w:r>
      <w:r w:rsidRPr="001138ED">
        <w:rPr>
          <w:bCs/>
        </w:rPr>
        <w:t xml:space="preserve"> </w:t>
      </w:r>
      <w:r w:rsidR="00811BBB">
        <w:rPr>
          <w:bCs/>
        </w:rPr>
        <w:t>is</w:t>
      </w:r>
      <w:r w:rsidRPr="001138ED">
        <w:rPr>
          <w:bCs/>
        </w:rPr>
        <w:t xml:space="preserve"> not present, the notice of violation shall be sent </w:t>
      </w:r>
      <w:r w:rsidR="00811BBB">
        <w:rPr>
          <w:bCs/>
        </w:rPr>
        <w:t xml:space="preserve">by </w:t>
      </w:r>
      <w:r w:rsidRPr="001138ED">
        <w:rPr>
          <w:bCs/>
        </w:rPr>
        <w:t>certified mail to the person</w:t>
      </w:r>
      <w:r w:rsidR="00811BBB">
        <w:rPr>
          <w:bCs/>
        </w:rPr>
        <w:t>'</w:t>
      </w:r>
      <w:r w:rsidRPr="001138ED">
        <w:rPr>
          <w:bCs/>
        </w:rPr>
        <w:t>s address.  The notice of violation shall be considered served when personally delivered or mailed.</w:t>
      </w:r>
    </w:p>
    <w:p w14:paraId="575F89D0" w14:textId="77777777" w:rsidR="000F1F92" w:rsidRDefault="000F1F92" w:rsidP="00B21745">
      <w:pPr>
        <w:tabs>
          <w:tab w:val="left" w:pos="-1440"/>
        </w:tabs>
        <w:spacing w:line="246" w:lineRule="auto"/>
        <w:rPr>
          <w:bCs/>
        </w:rPr>
      </w:pPr>
    </w:p>
    <w:p w14:paraId="0736CDDA" w14:textId="77777777" w:rsidR="00811BBB" w:rsidRDefault="000F1F92" w:rsidP="000F1F92">
      <w:pPr>
        <w:tabs>
          <w:tab w:val="left" w:pos="-1440"/>
        </w:tabs>
        <w:spacing w:line="246" w:lineRule="auto"/>
        <w:ind w:left="1440" w:hanging="720"/>
        <w:rPr>
          <w:bCs/>
        </w:rPr>
      </w:pPr>
      <w:r w:rsidRPr="001138ED">
        <w:rPr>
          <w:bCs/>
        </w:rPr>
        <w:t>d)</w:t>
      </w:r>
      <w:r>
        <w:rPr>
          <w:bCs/>
        </w:rPr>
        <w:tab/>
      </w:r>
      <w:r w:rsidRPr="001138ED">
        <w:rPr>
          <w:bCs/>
        </w:rPr>
        <w:t>The person issued the notice of violation may provide the Department a writ</w:t>
      </w:r>
      <w:r>
        <w:rPr>
          <w:bCs/>
        </w:rPr>
        <w:t>ten response to the violations</w:t>
      </w:r>
      <w:r w:rsidRPr="001138ED">
        <w:rPr>
          <w:bCs/>
        </w:rPr>
        <w:t xml:space="preserve"> within 14 days </w:t>
      </w:r>
      <w:r w:rsidR="00811BBB">
        <w:rPr>
          <w:bCs/>
        </w:rPr>
        <w:t>after</w:t>
      </w:r>
      <w:r w:rsidRPr="001138ED">
        <w:rPr>
          <w:bCs/>
        </w:rPr>
        <w:t xml:space="preserve"> the delivery or mailing of the notice.  </w:t>
      </w:r>
      <w:r w:rsidR="00811BBB">
        <w:rPr>
          <w:bCs/>
        </w:rPr>
        <w:t xml:space="preserve">The </w:t>
      </w:r>
      <w:r w:rsidRPr="001138ED">
        <w:rPr>
          <w:bCs/>
        </w:rPr>
        <w:t>written response may include a proposed alternative to the Department</w:t>
      </w:r>
      <w:r w:rsidR="00811BBB">
        <w:rPr>
          <w:bCs/>
        </w:rPr>
        <w:t>'</w:t>
      </w:r>
      <w:r w:rsidRPr="001138ED">
        <w:rPr>
          <w:bCs/>
        </w:rPr>
        <w:t>s specified remedial action, if any, needed to abate the violat</w:t>
      </w:r>
      <w:r>
        <w:rPr>
          <w:bCs/>
        </w:rPr>
        <w:t>ion</w:t>
      </w:r>
      <w:r w:rsidRPr="001138ED">
        <w:rPr>
          <w:bCs/>
        </w:rPr>
        <w:t xml:space="preserve">s.  The Department shall consider any information submitted in determining the facts surrounding the violation and the amount of the penalty.  </w:t>
      </w:r>
    </w:p>
    <w:p w14:paraId="5C83DD24" w14:textId="77777777" w:rsidR="00811BBB" w:rsidRDefault="00811BBB" w:rsidP="00B21745">
      <w:pPr>
        <w:tabs>
          <w:tab w:val="left" w:pos="-1440"/>
        </w:tabs>
        <w:spacing w:line="246" w:lineRule="auto"/>
        <w:rPr>
          <w:bCs/>
        </w:rPr>
      </w:pPr>
    </w:p>
    <w:p w14:paraId="49C789B7" w14:textId="77777777" w:rsidR="00811BBB" w:rsidRDefault="00811BBB" w:rsidP="00811BBB">
      <w:pPr>
        <w:ind w:left="2160" w:hanging="720"/>
      </w:pPr>
      <w:r>
        <w:t>1)</w:t>
      </w:r>
      <w:r>
        <w:tab/>
      </w:r>
      <w:r w:rsidR="000F1F92" w:rsidRPr="001138ED">
        <w:t>The written response shall be submitted to the</w:t>
      </w:r>
      <w:r>
        <w:t>:</w:t>
      </w:r>
    </w:p>
    <w:p w14:paraId="06FB10F1" w14:textId="77777777" w:rsidR="00811BBB" w:rsidRDefault="00811BBB" w:rsidP="00B21745"/>
    <w:p w14:paraId="68C5B0C2" w14:textId="77777777" w:rsidR="00811BBB" w:rsidRDefault="000F1F92" w:rsidP="0058220E">
      <w:pPr>
        <w:ind w:left="2880"/>
      </w:pPr>
      <w:r w:rsidRPr="001138ED">
        <w:t>Illinois Department of Natural Resources</w:t>
      </w:r>
    </w:p>
    <w:p w14:paraId="031B000F" w14:textId="77777777" w:rsidR="00811BBB" w:rsidRDefault="000F1F92" w:rsidP="0058220E">
      <w:pPr>
        <w:ind w:left="2880"/>
      </w:pPr>
      <w:r w:rsidRPr="001138ED">
        <w:t>Office of Mines and Minerals</w:t>
      </w:r>
    </w:p>
    <w:p w14:paraId="3DDE0369" w14:textId="77777777" w:rsidR="00811BBB" w:rsidRDefault="00B21745" w:rsidP="0058220E">
      <w:pPr>
        <w:ind w:left="2880"/>
      </w:pPr>
      <w:r>
        <w:t>Explosives and Aggregate</w:t>
      </w:r>
      <w:r w:rsidR="000F1F92" w:rsidRPr="001138ED">
        <w:t xml:space="preserve"> Division</w:t>
      </w:r>
    </w:p>
    <w:p w14:paraId="0935A353" w14:textId="77777777" w:rsidR="00811BBB" w:rsidRDefault="000F1F92" w:rsidP="0058220E">
      <w:pPr>
        <w:ind w:left="2880"/>
      </w:pPr>
      <w:r w:rsidRPr="001138ED">
        <w:t>One Natural Resources Way</w:t>
      </w:r>
    </w:p>
    <w:p w14:paraId="69C758E7" w14:textId="4DB30AF0" w:rsidR="00811BBB" w:rsidRDefault="000F1F92" w:rsidP="0058220E">
      <w:pPr>
        <w:ind w:left="2880"/>
      </w:pPr>
      <w:r w:rsidRPr="001138ED">
        <w:t>Springfield</w:t>
      </w:r>
      <w:r w:rsidR="00811BBB">
        <w:t xml:space="preserve"> IL</w:t>
      </w:r>
      <w:r w:rsidRPr="001138ED">
        <w:t xml:space="preserve"> </w:t>
      </w:r>
      <w:r w:rsidR="006619F5">
        <w:t xml:space="preserve"> </w:t>
      </w:r>
      <w:r w:rsidRPr="001138ED">
        <w:t>62702-1271</w:t>
      </w:r>
    </w:p>
    <w:p w14:paraId="1FAA8723" w14:textId="77777777" w:rsidR="00811BBB" w:rsidRDefault="00811BBB" w:rsidP="00811BBB"/>
    <w:p w14:paraId="6C0F0ECC" w14:textId="77777777" w:rsidR="000F1F92" w:rsidRPr="001138ED" w:rsidRDefault="00811BBB" w:rsidP="00811BBB">
      <w:pPr>
        <w:ind w:left="2160" w:hanging="720"/>
      </w:pPr>
      <w:r>
        <w:lastRenderedPageBreak/>
        <w:t>2)</w:t>
      </w:r>
      <w:r>
        <w:tab/>
      </w:r>
      <w:r w:rsidR="000F1F92" w:rsidRPr="001138ED">
        <w:t>The response must be postmarked or hand</w:t>
      </w:r>
      <w:r>
        <w:t xml:space="preserve"> </w:t>
      </w:r>
      <w:r w:rsidR="000F1F92" w:rsidRPr="001138ED">
        <w:t xml:space="preserve">delivered by </w:t>
      </w:r>
      <w:r w:rsidR="000F1F92">
        <w:t xml:space="preserve">the </w:t>
      </w:r>
      <w:r w:rsidR="000F1F92" w:rsidRPr="001138ED">
        <w:t>14</w:t>
      </w:r>
      <w:r w:rsidR="000F1F92" w:rsidRPr="001138ED">
        <w:rPr>
          <w:vertAlign w:val="superscript"/>
        </w:rPr>
        <w:t>th</w:t>
      </w:r>
      <w:r w:rsidR="000F1F92" w:rsidRPr="001138ED">
        <w:t xml:space="preserve"> day </w:t>
      </w:r>
      <w:r>
        <w:t xml:space="preserve">after </w:t>
      </w:r>
      <w:r w:rsidR="000F1F92" w:rsidRPr="001138ED">
        <w:t>delivery or mailing of the notice</w:t>
      </w:r>
      <w:r w:rsidR="000F1F92">
        <w:t xml:space="preserve"> of violation</w:t>
      </w:r>
      <w:r w:rsidR="000F1F92" w:rsidRPr="001138ED">
        <w:t>.</w:t>
      </w:r>
    </w:p>
    <w:p w14:paraId="18B79415" w14:textId="77777777" w:rsidR="000F1F92" w:rsidRPr="001138ED" w:rsidRDefault="000F1F92" w:rsidP="000F1F92">
      <w:pPr>
        <w:spacing w:line="246" w:lineRule="auto"/>
        <w:rPr>
          <w:bCs/>
        </w:rPr>
      </w:pPr>
    </w:p>
    <w:p w14:paraId="55B8B9BA" w14:textId="77777777" w:rsidR="000F1F92" w:rsidRPr="001138ED" w:rsidRDefault="000F1F92" w:rsidP="000F1F92">
      <w:pPr>
        <w:tabs>
          <w:tab w:val="left" w:pos="-1440"/>
        </w:tabs>
        <w:spacing w:line="246" w:lineRule="auto"/>
        <w:ind w:left="1440" w:hanging="720"/>
        <w:rPr>
          <w:bCs/>
        </w:rPr>
      </w:pPr>
      <w:r w:rsidRPr="001138ED">
        <w:rPr>
          <w:bCs/>
        </w:rPr>
        <w:t>e)</w:t>
      </w:r>
      <w:r>
        <w:rPr>
          <w:bCs/>
        </w:rPr>
        <w:tab/>
      </w:r>
      <w:r w:rsidRPr="001138ED">
        <w:rPr>
          <w:bCs/>
        </w:rPr>
        <w:t>A notice of violation issued under this Section shall continue in effect until modified, vacated or terminated by the Department.  Termination shall not affect the right of the Department to assess civil penalties for those violations in ac</w:t>
      </w:r>
      <w:r>
        <w:rPr>
          <w:bCs/>
        </w:rPr>
        <w:t>cordance with Section 200.930(b)(2)</w:t>
      </w:r>
      <w:r w:rsidRPr="001138ED">
        <w:rPr>
          <w:bCs/>
        </w:rPr>
        <w:t>.  A notice of violation can only be terminated when all abatement action required by the Department has been completed.</w:t>
      </w:r>
    </w:p>
    <w:p w14:paraId="2AB9F514" w14:textId="77777777" w:rsidR="000F1F92" w:rsidRPr="001138ED" w:rsidRDefault="000F1F92" w:rsidP="000F1F92">
      <w:pPr>
        <w:spacing w:line="246" w:lineRule="auto"/>
        <w:rPr>
          <w:bCs/>
        </w:rPr>
      </w:pPr>
    </w:p>
    <w:p w14:paraId="3AFBD84F" w14:textId="77777777" w:rsidR="000F1F92" w:rsidRPr="001138ED" w:rsidRDefault="000F1F92" w:rsidP="000F1F92">
      <w:pPr>
        <w:tabs>
          <w:tab w:val="left" w:pos="-1440"/>
        </w:tabs>
        <w:spacing w:line="246" w:lineRule="auto"/>
        <w:ind w:left="1440" w:hanging="720"/>
        <w:rPr>
          <w:bCs/>
        </w:rPr>
      </w:pPr>
      <w:r w:rsidRPr="001138ED">
        <w:rPr>
          <w:bCs/>
        </w:rPr>
        <w:t>f)</w:t>
      </w:r>
      <w:r>
        <w:rPr>
          <w:bCs/>
        </w:rPr>
        <w:tab/>
      </w:r>
      <w:r w:rsidRPr="001138ED">
        <w:rPr>
          <w:bCs/>
        </w:rPr>
        <w:t>A notice of violation may be modified, vacated or terminated in writing by either:</w:t>
      </w:r>
    </w:p>
    <w:p w14:paraId="6AA61295" w14:textId="77777777" w:rsidR="000F1F92" w:rsidRPr="001138ED" w:rsidRDefault="000F1F92" w:rsidP="000F1F92">
      <w:pPr>
        <w:spacing w:line="246" w:lineRule="auto"/>
        <w:rPr>
          <w:bCs/>
        </w:rPr>
      </w:pPr>
    </w:p>
    <w:p w14:paraId="0023CDB4" w14:textId="77777777" w:rsidR="000F1F92" w:rsidRPr="001138ED" w:rsidRDefault="000F1F92" w:rsidP="000F1F92">
      <w:pPr>
        <w:spacing w:line="246" w:lineRule="auto"/>
        <w:ind w:firstLine="1440"/>
        <w:rPr>
          <w:bCs/>
        </w:rPr>
      </w:pPr>
      <w:r w:rsidRPr="001138ED">
        <w:rPr>
          <w:bCs/>
        </w:rPr>
        <w:t>1)</w:t>
      </w:r>
      <w:r>
        <w:rPr>
          <w:bCs/>
        </w:rPr>
        <w:tab/>
      </w:r>
      <w:r w:rsidRPr="001138ED">
        <w:rPr>
          <w:bCs/>
        </w:rPr>
        <w:t xml:space="preserve">An authorized representative of the Department; </w:t>
      </w:r>
    </w:p>
    <w:p w14:paraId="78971142" w14:textId="77777777" w:rsidR="000F1F92" w:rsidRPr="001138ED" w:rsidRDefault="000F1F92" w:rsidP="00B21745">
      <w:pPr>
        <w:tabs>
          <w:tab w:val="left" w:pos="-1440"/>
        </w:tabs>
        <w:spacing w:line="246" w:lineRule="auto"/>
        <w:rPr>
          <w:bCs/>
        </w:rPr>
      </w:pPr>
    </w:p>
    <w:p w14:paraId="567E0AE3" w14:textId="77777777" w:rsidR="000F1F92" w:rsidRPr="001138ED" w:rsidRDefault="000F1F92" w:rsidP="000F1F92">
      <w:pPr>
        <w:tabs>
          <w:tab w:val="left" w:pos="-1440"/>
        </w:tabs>
        <w:spacing w:line="246" w:lineRule="auto"/>
        <w:ind w:left="2160" w:hanging="720"/>
        <w:rPr>
          <w:bCs/>
        </w:rPr>
      </w:pPr>
      <w:r w:rsidRPr="001138ED">
        <w:rPr>
          <w:bCs/>
        </w:rPr>
        <w:t>2)</w:t>
      </w:r>
      <w:r>
        <w:rPr>
          <w:bCs/>
        </w:rPr>
        <w:tab/>
      </w:r>
      <w:r w:rsidRPr="001138ED">
        <w:rPr>
          <w:bCs/>
        </w:rPr>
        <w:t>The issuance of a</w:t>
      </w:r>
      <w:r>
        <w:rPr>
          <w:bCs/>
        </w:rPr>
        <w:t xml:space="preserve"> Decision by the Director, or </w:t>
      </w:r>
      <w:r w:rsidRPr="001138ED">
        <w:rPr>
          <w:bCs/>
        </w:rPr>
        <w:t>desig</w:t>
      </w:r>
      <w:r>
        <w:rPr>
          <w:bCs/>
        </w:rPr>
        <w:t xml:space="preserve">nee, </w:t>
      </w:r>
      <w:r w:rsidR="00720C9F">
        <w:rPr>
          <w:bCs/>
        </w:rPr>
        <w:t>(see</w:t>
      </w:r>
      <w:r>
        <w:rPr>
          <w:bCs/>
        </w:rPr>
        <w:t xml:space="preserve"> Section 200.930(d)</w:t>
      </w:r>
      <w:r w:rsidR="00720C9F">
        <w:rPr>
          <w:bCs/>
        </w:rPr>
        <w:t>)</w:t>
      </w:r>
      <w:r w:rsidRPr="001138ED">
        <w:rPr>
          <w:bCs/>
        </w:rPr>
        <w:t>; or</w:t>
      </w:r>
    </w:p>
    <w:p w14:paraId="3C747CB5" w14:textId="77777777" w:rsidR="000F1F92" w:rsidRPr="001138ED" w:rsidRDefault="000F1F92" w:rsidP="00B21745">
      <w:pPr>
        <w:tabs>
          <w:tab w:val="left" w:pos="-1440"/>
        </w:tabs>
        <w:spacing w:line="246" w:lineRule="auto"/>
        <w:rPr>
          <w:bCs/>
        </w:rPr>
      </w:pPr>
    </w:p>
    <w:p w14:paraId="5BE10837" w14:textId="77777777" w:rsidR="000F1F92" w:rsidRPr="001138ED" w:rsidRDefault="000F1F92" w:rsidP="000F1F92">
      <w:pPr>
        <w:tabs>
          <w:tab w:val="left" w:pos="-1440"/>
        </w:tabs>
        <w:spacing w:line="246" w:lineRule="auto"/>
        <w:ind w:left="2160" w:hanging="720"/>
        <w:rPr>
          <w:bCs/>
        </w:rPr>
      </w:pPr>
      <w:r w:rsidRPr="001138ED">
        <w:rPr>
          <w:bCs/>
        </w:rPr>
        <w:t>3)</w:t>
      </w:r>
      <w:r>
        <w:rPr>
          <w:bCs/>
        </w:rPr>
        <w:tab/>
      </w:r>
      <w:r w:rsidRPr="001138ED">
        <w:rPr>
          <w:bCs/>
        </w:rPr>
        <w:t>The issuance of a final administrative decision by the Director in accordance with Subpart K.</w:t>
      </w:r>
    </w:p>
    <w:p w14:paraId="6305055D" w14:textId="77777777" w:rsidR="000F1F92" w:rsidRPr="001138ED" w:rsidRDefault="000F1F92" w:rsidP="00B21745">
      <w:pPr>
        <w:tabs>
          <w:tab w:val="left" w:pos="-1440"/>
        </w:tabs>
        <w:spacing w:line="246" w:lineRule="auto"/>
        <w:rPr>
          <w:bCs/>
        </w:rPr>
      </w:pPr>
    </w:p>
    <w:p w14:paraId="52ABA364" w14:textId="2D12AF6B" w:rsidR="000F1F92" w:rsidRPr="00D55B37" w:rsidRDefault="00357FBE">
      <w:pPr>
        <w:pStyle w:val="JCARSourceNote"/>
        <w:ind w:left="720"/>
      </w:pPr>
      <w:r w:rsidRPr="00FD1AD2">
        <w:t>(Source:  Amended at 4</w:t>
      </w:r>
      <w:r w:rsidR="00062AE2">
        <w:t>8</w:t>
      </w:r>
      <w:r w:rsidRPr="00FD1AD2">
        <w:t xml:space="preserve"> Ill. Reg. </w:t>
      </w:r>
      <w:r w:rsidR="00F854B8">
        <w:t>9600</w:t>
      </w:r>
      <w:r w:rsidRPr="00FD1AD2">
        <w:t xml:space="preserve">, effective </w:t>
      </w:r>
      <w:r w:rsidR="00F854B8">
        <w:t>June 24, 2024</w:t>
      </w:r>
      <w:r w:rsidRPr="00FD1AD2">
        <w:t>)</w:t>
      </w:r>
    </w:p>
    <w:sectPr w:rsidR="000F1F92"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42F2F" w14:textId="77777777" w:rsidR="00811BBB" w:rsidRDefault="00811BBB">
      <w:r>
        <w:separator/>
      </w:r>
    </w:p>
  </w:endnote>
  <w:endnote w:type="continuationSeparator" w:id="0">
    <w:p w14:paraId="54E54488" w14:textId="77777777" w:rsidR="00811BBB" w:rsidRDefault="00811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80EAB" w14:textId="77777777" w:rsidR="00811BBB" w:rsidRDefault="00811BBB">
      <w:r>
        <w:separator/>
      </w:r>
    </w:p>
  </w:footnote>
  <w:footnote w:type="continuationSeparator" w:id="0">
    <w:p w14:paraId="7814E872" w14:textId="77777777" w:rsidR="00811BBB" w:rsidRDefault="00811B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0C45"/>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2AE2"/>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1F92"/>
    <w:rsid w:val="000F25A1"/>
    <w:rsid w:val="000F6AB6"/>
    <w:rsid w:val="000F6C6D"/>
    <w:rsid w:val="00103C24"/>
    <w:rsid w:val="00110A0B"/>
    <w:rsid w:val="00114190"/>
    <w:rsid w:val="0012221A"/>
    <w:rsid w:val="001328A0"/>
    <w:rsid w:val="0014104E"/>
    <w:rsid w:val="001433F3"/>
    <w:rsid w:val="00145C78"/>
    <w:rsid w:val="0014696A"/>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40A"/>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57FBE"/>
    <w:rsid w:val="00365FFF"/>
    <w:rsid w:val="00367A2E"/>
    <w:rsid w:val="00374367"/>
    <w:rsid w:val="00374639"/>
    <w:rsid w:val="00375C58"/>
    <w:rsid w:val="003760AD"/>
    <w:rsid w:val="00376D83"/>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30BF"/>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20E"/>
    <w:rsid w:val="005828DA"/>
    <w:rsid w:val="005840C0"/>
    <w:rsid w:val="00586A81"/>
    <w:rsid w:val="005901D4"/>
    <w:rsid w:val="005948A7"/>
    <w:rsid w:val="005A0F29"/>
    <w:rsid w:val="005A2494"/>
    <w:rsid w:val="005A3F43"/>
    <w:rsid w:val="005A73F7"/>
    <w:rsid w:val="005B09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19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0C9F"/>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1BBB"/>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540"/>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1745"/>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97DF0"/>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0B4A"/>
    <w:rsid w:val="00D2155A"/>
    <w:rsid w:val="00D27015"/>
    <w:rsid w:val="00D2776C"/>
    <w:rsid w:val="00D27E4E"/>
    <w:rsid w:val="00D32AA7"/>
    <w:rsid w:val="00D337D2"/>
    <w:rsid w:val="00D33832"/>
    <w:rsid w:val="00D453EE"/>
    <w:rsid w:val="00D46468"/>
    <w:rsid w:val="00D55B37"/>
    <w:rsid w:val="00D5634E"/>
    <w:rsid w:val="00D64111"/>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1567"/>
    <w:rsid w:val="00E34B29"/>
    <w:rsid w:val="00E406C7"/>
    <w:rsid w:val="00E40FDC"/>
    <w:rsid w:val="00E41211"/>
    <w:rsid w:val="00E4457E"/>
    <w:rsid w:val="00E45282"/>
    <w:rsid w:val="00E47B6D"/>
    <w:rsid w:val="00E50C45"/>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1103"/>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854B8"/>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9E5678"/>
  <w15:docId w15:val="{F5BF346C-D77C-4FDF-AE77-89942D016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1F9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3</cp:revision>
  <dcterms:created xsi:type="dcterms:W3CDTF">2024-05-16T17:20:00Z</dcterms:created>
  <dcterms:modified xsi:type="dcterms:W3CDTF">2024-07-03T23:19:00Z</dcterms:modified>
</cp:coreProperties>
</file>