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C93" w:rsidRDefault="00287C93" w:rsidP="00287C93">
      <w:pPr>
        <w:widowControl w:val="0"/>
        <w:autoSpaceDE w:val="0"/>
        <w:autoSpaceDN w:val="0"/>
        <w:adjustRightInd w:val="0"/>
      </w:pPr>
      <w:bookmarkStart w:id="0" w:name="_GoBack"/>
      <w:bookmarkEnd w:id="0"/>
    </w:p>
    <w:p w:rsidR="00287C93" w:rsidRDefault="00287C93" w:rsidP="00287C93">
      <w:pPr>
        <w:widowControl w:val="0"/>
        <w:autoSpaceDE w:val="0"/>
        <w:autoSpaceDN w:val="0"/>
        <w:adjustRightInd w:val="0"/>
      </w:pPr>
      <w:r>
        <w:rPr>
          <w:b/>
          <w:bCs/>
        </w:rPr>
        <w:t>Section 180.10  Executive Offices to Take Action Deemed Necessary</w:t>
      </w:r>
      <w:r>
        <w:t xml:space="preserve"> </w:t>
      </w:r>
    </w:p>
    <w:p w:rsidR="00287C93" w:rsidRDefault="00287C93" w:rsidP="00287C93">
      <w:pPr>
        <w:widowControl w:val="0"/>
        <w:autoSpaceDE w:val="0"/>
        <w:autoSpaceDN w:val="0"/>
        <w:adjustRightInd w:val="0"/>
      </w:pPr>
    </w:p>
    <w:p w:rsidR="00287C93" w:rsidRDefault="00287C93" w:rsidP="00287C93">
      <w:pPr>
        <w:widowControl w:val="0"/>
        <w:autoSpaceDE w:val="0"/>
        <w:autoSpaceDN w:val="0"/>
        <w:adjustRightInd w:val="0"/>
      </w:pPr>
      <w:r>
        <w:t xml:space="preserve">It was the ruling of the Mining Board that it is incumbent upon the Executive Officer to take whatever action he deems expedient at the time in any emergency that may arise of any kind of character, or in the case any employee of the Department of Natural Resources who does not fully cooperate with the Coal Mining Act or the rules prescribed by the Executive Officer (Director of the Office of Mines and Minerals).  The Executive Officer shall report his actions to the Mining Board, and in the case of a discharged employee the Mining Board, if it so desires, may give to such employee the right to appeal his or her case to the Board. </w:t>
      </w:r>
    </w:p>
    <w:sectPr w:rsidR="00287C93" w:rsidSect="00287C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C93"/>
    <w:rsid w:val="00272984"/>
    <w:rsid w:val="00280436"/>
    <w:rsid w:val="00287C93"/>
    <w:rsid w:val="005C3366"/>
    <w:rsid w:val="0088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