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CB" w:rsidRDefault="001E32CB" w:rsidP="00C37B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2CB" w:rsidRDefault="001E32CB" w:rsidP="00C37B74">
      <w:pPr>
        <w:widowControl w:val="0"/>
        <w:autoSpaceDE w:val="0"/>
        <w:autoSpaceDN w:val="0"/>
        <w:adjustRightInd w:val="0"/>
        <w:jc w:val="center"/>
      </w:pPr>
      <w:r>
        <w:t>PART 115</w:t>
      </w:r>
    </w:p>
    <w:p w:rsidR="005B51CF" w:rsidRDefault="001E32CB" w:rsidP="00C37B74">
      <w:pPr>
        <w:widowControl w:val="0"/>
        <w:autoSpaceDE w:val="0"/>
        <w:autoSpaceDN w:val="0"/>
        <w:adjustRightInd w:val="0"/>
        <w:jc w:val="center"/>
      </w:pPr>
      <w:r>
        <w:t xml:space="preserve">STANDARDS AND LICENSURE REQUIREMENTS FOR </w:t>
      </w:r>
    </w:p>
    <w:p w:rsidR="001E32CB" w:rsidRDefault="001E32CB" w:rsidP="00C37B74">
      <w:pPr>
        <w:widowControl w:val="0"/>
        <w:autoSpaceDE w:val="0"/>
        <w:autoSpaceDN w:val="0"/>
        <w:adjustRightInd w:val="0"/>
        <w:jc w:val="center"/>
      </w:pPr>
      <w:r>
        <w:t>COMMUNITY-INTEGRATED LIVING</w:t>
      </w:r>
      <w:r w:rsidR="00C926AD">
        <w:t xml:space="preserve"> </w:t>
      </w:r>
      <w:r>
        <w:t>ARRANGEMENTS</w:t>
      </w:r>
    </w:p>
    <w:p w:rsidR="006C557B" w:rsidRDefault="006C557B" w:rsidP="00C37B74">
      <w:pPr>
        <w:widowControl w:val="0"/>
        <w:autoSpaceDE w:val="0"/>
        <w:autoSpaceDN w:val="0"/>
        <w:adjustRightInd w:val="0"/>
        <w:jc w:val="center"/>
      </w:pPr>
    </w:p>
    <w:sectPr w:rsidR="006C557B" w:rsidSect="00C37B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2CB"/>
    <w:rsid w:val="00146EDD"/>
    <w:rsid w:val="001E32CB"/>
    <w:rsid w:val="002D31C0"/>
    <w:rsid w:val="004F191D"/>
    <w:rsid w:val="005B51CF"/>
    <w:rsid w:val="006C557B"/>
    <w:rsid w:val="007809A0"/>
    <w:rsid w:val="00C37B74"/>
    <w:rsid w:val="00C926AD"/>
    <w:rsid w:val="00E2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115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115</dc:title>
  <dc:subject/>
  <dc:creator>harling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