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CB" w:rsidRDefault="00AB4ACB" w:rsidP="00AB4A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4ACB" w:rsidRDefault="00AB4ACB" w:rsidP="00AB4ACB">
      <w:pPr>
        <w:widowControl w:val="0"/>
        <w:autoSpaceDE w:val="0"/>
        <w:autoSpaceDN w:val="0"/>
        <w:adjustRightInd w:val="0"/>
        <w:jc w:val="center"/>
      </w:pPr>
      <w:r>
        <w:t>PART 113</w:t>
      </w:r>
    </w:p>
    <w:p w:rsidR="00AB4ACB" w:rsidRDefault="00AB4ACB" w:rsidP="00AB4ACB">
      <w:pPr>
        <w:widowControl w:val="0"/>
        <w:autoSpaceDE w:val="0"/>
        <w:autoSpaceDN w:val="0"/>
        <w:adjustRightInd w:val="0"/>
        <w:jc w:val="center"/>
      </w:pPr>
      <w:r>
        <w:t>MINIMUM STANDARDS FOR LICENSURE OF</w:t>
      </w:r>
    </w:p>
    <w:p w:rsidR="00AB4ACB" w:rsidRDefault="00AB4ACB" w:rsidP="00AB4ACB">
      <w:pPr>
        <w:widowControl w:val="0"/>
        <w:autoSpaceDE w:val="0"/>
        <w:autoSpaceDN w:val="0"/>
        <w:adjustRightInd w:val="0"/>
        <w:jc w:val="center"/>
      </w:pPr>
      <w:r>
        <w:t>COMMUNITY RESIDENTIAL ALTERNATIVES</w:t>
      </w:r>
    </w:p>
    <w:p w:rsidR="00AB4ACB" w:rsidRDefault="00AB4ACB" w:rsidP="00AB4ACB">
      <w:pPr>
        <w:widowControl w:val="0"/>
        <w:autoSpaceDE w:val="0"/>
        <w:autoSpaceDN w:val="0"/>
        <w:adjustRightInd w:val="0"/>
        <w:jc w:val="center"/>
      </w:pPr>
      <w:r>
        <w:t>(REPEALED)</w:t>
      </w:r>
    </w:p>
    <w:p w:rsidR="00AB4ACB" w:rsidRDefault="00AB4ACB" w:rsidP="00AB4ACB">
      <w:pPr>
        <w:widowControl w:val="0"/>
        <w:autoSpaceDE w:val="0"/>
        <w:autoSpaceDN w:val="0"/>
        <w:adjustRightInd w:val="0"/>
      </w:pPr>
    </w:p>
    <w:sectPr w:rsidR="00AB4ACB" w:rsidSect="00AB4A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ACB"/>
    <w:rsid w:val="00587C6F"/>
    <w:rsid w:val="005C3366"/>
    <w:rsid w:val="00AB4ACB"/>
    <w:rsid w:val="00BE3EB5"/>
    <w:rsid w:val="00FD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113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113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