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03" w:rsidRDefault="00E07103" w:rsidP="00E071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103" w:rsidRDefault="00E07103" w:rsidP="00E07103">
      <w:pPr>
        <w:widowControl w:val="0"/>
        <w:autoSpaceDE w:val="0"/>
        <w:autoSpaceDN w:val="0"/>
        <w:adjustRightInd w:val="0"/>
      </w:pPr>
      <w:r>
        <w:t xml:space="preserve">AUTHORITY:  Implementing and authorized by Section 5-104 of the Mental Health and Developmental Disabilities Code [405 ILCS 5/5-104], Section 5 of the Mental Health and Developmental Disabilities Administrative Act [20 ILCS 1705/5] and Section 14-8.01 of the School Code [105 ILCS 5/14-8.01]; Subpart D implementing Section 3-203 of the Nursing Home Care Act [210 ILCS 45/3-203]; Section 108.300 implementing Section 10-22.6 of the School Code [105 ILCS 5/10-22.6]. </w:t>
      </w:r>
    </w:p>
    <w:sectPr w:rsidR="00E07103" w:rsidSect="00E07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103"/>
    <w:rsid w:val="00434538"/>
    <w:rsid w:val="004C1301"/>
    <w:rsid w:val="0053752B"/>
    <w:rsid w:val="005C3366"/>
    <w:rsid w:val="00E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5-104 of the Mental Health and Developmental Disabilities Code [405 ILCS 5/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5-104 of the Mental Health and Developmental Disabilities Code [405 ILCS 5/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