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78" w:rsidRDefault="006D5778" w:rsidP="006D57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5778" w:rsidRDefault="006D5778" w:rsidP="006D5778">
      <w:pPr>
        <w:widowControl w:val="0"/>
        <w:autoSpaceDE w:val="0"/>
        <w:autoSpaceDN w:val="0"/>
        <w:adjustRightInd w:val="0"/>
      </w:pPr>
      <w:r>
        <w:t xml:space="preserve">AUTHORITY:  Implementing Sections 15, 34 and 34.1 of  the  Mental Health and Developmental Disabilities Administrative Act [20 ILCS 1705/15, 34 and 34.1] and the Community Services Act [405 ILCS 30] and authorized by Section 5-104 of the Mental Health and Developmental Disabilities Code [405 ILCS 5/5-104] and Section 5 of the Mental Health and Developmental Disabilities Administrative Act [20 ILCS 1705/5]. </w:t>
      </w:r>
    </w:p>
    <w:sectPr w:rsidR="006D5778" w:rsidSect="006D57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778"/>
    <w:rsid w:val="002B6B11"/>
    <w:rsid w:val="0048022D"/>
    <w:rsid w:val="0059646F"/>
    <w:rsid w:val="005C3366"/>
    <w:rsid w:val="006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15, 34 and 34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15, 34 and 34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