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5E" w:rsidRDefault="00EF315E" w:rsidP="00EF31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15E" w:rsidRDefault="00EF315E" w:rsidP="00EF315E">
      <w:pPr>
        <w:widowControl w:val="0"/>
        <w:autoSpaceDE w:val="0"/>
        <w:autoSpaceDN w:val="0"/>
        <w:adjustRightInd w:val="0"/>
      </w:pPr>
      <w:r>
        <w:t>SOURCE:  Adopted at 4 Ill. Reg. 17, p. 218, effective April 25, 1980; codified at 5 Ill. Reg. 10718; amended at 14 Ill. Reg. 19292, effective November 27, 1990; recodified from the Department of Mental Health and Developmental Disabilities to the Department of Human Services at 21 Ill. Reg. 9321; amended at 26 Ill. Reg. 852</w:t>
      </w:r>
      <w:r w:rsidR="00292524">
        <w:t xml:space="preserve">0, effective May 30, 2002. </w:t>
      </w:r>
    </w:p>
    <w:sectPr w:rsidR="00EF315E" w:rsidSect="00EF3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15E"/>
    <w:rsid w:val="00292524"/>
    <w:rsid w:val="005C3366"/>
    <w:rsid w:val="007F5AE9"/>
    <w:rsid w:val="00B77BEE"/>
    <w:rsid w:val="00CF36A9"/>
    <w:rsid w:val="00E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