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B4C" w:rsidRDefault="00034B4C" w:rsidP="00034B4C">
      <w:pPr>
        <w:widowControl w:val="0"/>
        <w:autoSpaceDE w:val="0"/>
        <w:autoSpaceDN w:val="0"/>
        <w:adjustRightInd w:val="0"/>
      </w:pPr>
    </w:p>
    <w:p w:rsidR="00034B4C" w:rsidRDefault="00034B4C" w:rsidP="00034B4C">
      <w:pPr>
        <w:widowControl w:val="0"/>
        <w:autoSpaceDE w:val="0"/>
        <w:autoSpaceDN w:val="0"/>
        <w:adjustRightInd w:val="0"/>
      </w:pPr>
      <w:r>
        <w:rPr>
          <w:b/>
          <w:bCs/>
        </w:rPr>
        <w:t>Section 6000.110  Assembly and Disassembly</w:t>
      </w:r>
      <w:r>
        <w:t xml:space="preserve"> </w:t>
      </w:r>
    </w:p>
    <w:p w:rsidR="00034B4C" w:rsidRDefault="00034B4C" w:rsidP="00034B4C">
      <w:pPr>
        <w:widowControl w:val="0"/>
        <w:autoSpaceDE w:val="0"/>
        <w:autoSpaceDN w:val="0"/>
        <w:adjustRightInd w:val="0"/>
      </w:pPr>
    </w:p>
    <w:p w:rsidR="00034B4C" w:rsidRDefault="00034B4C" w:rsidP="00034B4C">
      <w:pPr>
        <w:widowControl w:val="0"/>
        <w:autoSpaceDE w:val="0"/>
        <w:autoSpaceDN w:val="0"/>
        <w:adjustRightInd w:val="0"/>
        <w:ind w:left="1440" w:hanging="720"/>
      </w:pPr>
      <w:r>
        <w:t>a)</w:t>
      </w:r>
      <w:r>
        <w:tab/>
        <w:t xml:space="preserve">The attendant of an amusement ride </w:t>
      </w:r>
      <w:r w:rsidR="00AD7BD0">
        <w:t xml:space="preserve">or amusement attraction </w:t>
      </w:r>
      <w:r>
        <w:t xml:space="preserve">shall comply with the manufacturer's construction manual for the assembly and disassembly of the </w:t>
      </w:r>
      <w:r w:rsidR="00AD7BD0">
        <w:t xml:space="preserve">amusement </w:t>
      </w:r>
      <w:r>
        <w:t>ride</w:t>
      </w:r>
      <w:r w:rsidR="00AD7BD0">
        <w:t xml:space="preserve"> or amusement attraction</w:t>
      </w:r>
      <w:r>
        <w:t xml:space="preserve">.  The manufacturer's construction manual shall be available for inspection by the Department. In the absence of a manufacturer's operating manual, the attendant or manager shall have the written step by step procedure or other documents used by the attendant for the assembly and disassembly of the amusement ride or amusement attraction.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1440" w:hanging="720"/>
      </w:pPr>
      <w:r>
        <w:t>b)</w:t>
      </w:r>
      <w:r>
        <w:tab/>
        <w:t xml:space="preserve">Amusement rides and amusement attractions shall be kept away from overhead electrical lines, except for the electric power supply to each </w:t>
      </w:r>
      <w:r w:rsidR="00AD7BD0">
        <w:t xml:space="preserve">amusement </w:t>
      </w:r>
      <w:r>
        <w:t>ride</w:t>
      </w:r>
      <w:r w:rsidR="00AD7BD0">
        <w:t xml:space="preserve"> or amusement attraction</w:t>
      </w:r>
      <w:r>
        <w:t xml:space="preserve">, by a minimum of 15 feet.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1440" w:hanging="720"/>
      </w:pPr>
      <w:r>
        <w:t>c)</w:t>
      </w:r>
      <w:r>
        <w:tab/>
        <w:t xml:space="preserve">Quality of Assembly.  Assembly work shall be in accordance with the manufacturers requirement or, in the absence of manufacturers requirements, in accordance with industry accepted standards.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1440" w:hanging="720"/>
      </w:pPr>
      <w:r>
        <w:t>d)</w:t>
      </w:r>
      <w:r>
        <w:tab/>
        <w:t xml:space="preserve">Quality and Inspection of Parts.  Parts worn beyond manufacturers specifications shall not be used.  Close visual inspection of parts shall be made during assembly to discover such wear or damage and immediate inspection of fastening devices shall be made after assembly to assure that they have been properly installed.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1440" w:hanging="720"/>
      </w:pPr>
      <w:r>
        <w:t>e)</w:t>
      </w:r>
      <w:r>
        <w:tab/>
        <w:t xml:space="preserve">Before being used by the public, amusement rides and amusement attractions shall be placed on or secured with blocking, cribbing, outriggers, guys, or other means as to be stable under all operating conditions.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2160" w:hanging="720"/>
      </w:pPr>
      <w:r>
        <w:t>1)</w:t>
      </w:r>
      <w:r>
        <w:tab/>
        <w:t xml:space="preserve">Long guy wires or braces utilized for amusement ride or amusement attraction support shall be clearly marked with streamers or other devices to attract attention when located in pedestrian or traffic patterns.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2160" w:hanging="720"/>
      </w:pPr>
      <w:r>
        <w:t>2)</w:t>
      </w:r>
      <w:r>
        <w:tab/>
        <w:t xml:space="preserve">Cement, brick, or stone type blocks shall not be used for blocking, cribbing or outriggers.  Brick or similar type blocks may be permitted on buildings such as bumper cars and on platforms, cat walks, ramps, stairs and stations of </w:t>
      </w:r>
      <w:r w:rsidR="00AD7BD0">
        <w:t xml:space="preserve">amusement </w:t>
      </w:r>
      <w:r>
        <w:t xml:space="preserve">rides </w:t>
      </w:r>
      <w:r w:rsidR="00AD7BD0">
        <w:t xml:space="preserve">or amusement attractions </w:t>
      </w:r>
      <w:r>
        <w:t>that bear no weight of the amusement ride</w:t>
      </w:r>
      <w:r w:rsidR="00AD7BD0">
        <w:t xml:space="preserve"> or amusement attraction</w:t>
      </w:r>
      <w:r>
        <w:t xml:space="preserve">.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2160" w:hanging="720"/>
      </w:pPr>
      <w:r>
        <w:t>3)</w:t>
      </w:r>
      <w:r>
        <w:tab/>
        <w:t xml:space="preserve">Cribbing or crossing of blocks shall be required when more than 2 tiers high.  The height of the blocking shall not exceed the width of the base.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1440" w:hanging="720"/>
      </w:pPr>
      <w:r>
        <w:t>f)</w:t>
      </w:r>
      <w:r>
        <w:tab/>
        <w:t>All amusement rides</w:t>
      </w:r>
      <w:r w:rsidR="00AD7BD0">
        <w:t xml:space="preserve"> and amusement attractions</w:t>
      </w:r>
      <w:r>
        <w:t xml:space="preserve">, such as but not limited to passenger tramways, where restoration of electric power could create a hazard shall be provided with a main disconnect switch capable of being locked only in the off position.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1440" w:hanging="720"/>
      </w:pPr>
      <w:r>
        <w:lastRenderedPageBreak/>
        <w:t>g)</w:t>
      </w:r>
      <w:r>
        <w:tab/>
        <w:t xml:space="preserve">The path of travel of an amusement ride </w:t>
      </w:r>
      <w:r w:rsidR="00AD7BD0">
        <w:t xml:space="preserve">or amusement attraction </w:t>
      </w:r>
      <w:r>
        <w:t xml:space="preserve">shall have a clearance to </w:t>
      </w:r>
      <w:r w:rsidR="001C2328">
        <w:t>ensure</w:t>
      </w:r>
      <w:r>
        <w:t xml:space="preserve"> that a passenger on the </w:t>
      </w:r>
      <w:r w:rsidR="00AD7BD0">
        <w:t xml:space="preserve">amusement </w:t>
      </w:r>
      <w:r>
        <w:t xml:space="preserve">ride </w:t>
      </w:r>
      <w:r w:rsidR="00AD7BD0">
        <w:t xml:space="preserve">or amusement attraction </w:t>
      </w:r>
      <w:r>
        <w:t xml:space="preserve">cannot be injured by contacting any structural member or other fixed object when the passenger is in the recommended riding position.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1440" w:hanging="720"/>
      </w:pPr>
      <w:r>
        <w:t>h)</w:t>
      </w:r>
      <w:r>
        <w:tab/>
        <w:t xml:space="preserve">All amusement rides or amusement attractions shall be adequately shielded to provide protection to spectators and riders.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2160" w:hanging="720"/>
      </w:pPr>
      <w:r>
        <w:t>1)</w:t>
      </w:r>
      <w:r>
        <w:tab/>
        <w:t xml:space="preserve">Fences shall be erected to resist moving or tipping and shall prevent </w:t>
      </w:r>
      <w:r w:rsidR="00AD7BD0">
        <w:t>inadvertent</w:t>
      </w:r>
      <w:r>
        <w:t xml:space="preserve"> contact between the spectator and rider.  In determining whether </w:t>
      </w:r>
      <w:r w:rsidR="00AD7BD0">
        <w:t>an amusement</w:t>
      </w:r>
      <w:r>
        <w:t xml:space="preserve"> ride </w:t>
      </w:r>
      <w:r w:rsidR="00AD7BD0">
        <w:t xml:space="preserve">or amusement attraction </w:t>
      </w:r>
      <w:r>
        <w:t>is adequately fenced</w:t>
      </w:r>
      <w:r w:rsidR="002515F6">
        <w:t>,</w:t>
      </w:r>
      <w:r>
        <w:t xml:space="preserve"> the inspector shall consider the maximum diameter and height of the </w:t>
      </w:r>
      <w:r w:rsidR="00AD7BD0">
        <w:t xml:space="preserve">amusement </w:t>
      </w:r>
      <w:r>
        <w:t xml:space="preserve">ride </w:t>
      </w:r>
      <w:r w:rsidR="00AD7BD0">
        <w:t xml:space="preserve">or amusement attraction </w:t>
      </w:r>
      <w:r>
        <w:t>operated at the manufacturers maximum recommendation.  All barriers purchased after the adoption of this part, shall be at least 36</w:t>
      </w:r>
      <w:r w:rsidR="00F93D64">
        <w:t xml:space="preserve"> inches</w:t>
      </w:r>
      <w:r>
        <w:t xml:space="preserve"> high for major rides and 24</w:t>
      </w:r>
      <w:r w:rsidR="00F93D64">
        <w:t xml:space="preserve"> inches</w:t>
      </w:r>
      <w:r>
        <w:t xml:space="preserve"> high for kiddie rides and shall be located at a safe distance from the </w:t>
      </w:r>
      <w:r w:rsidR="00AD7BD0">
        <w:t xml:space="preserve">amusement </w:t>
      </w:r>
      <w:r>
        <w:t>ride</w:t>
      </w:r>
      <w:r w:rsidR="00AD7BD0">
        <w:t xml:space="preserve"> or amusement attraction</w:t>
      </w:r>
      <w:r>
        <w:t xml:space="preserve">.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2160" w:hanging="720"/>
      </w:pPr>
      <w:r>
        <w:t>2)</w:t>
      </w:r>
      <w:r>
        <w:tab/>
        <w:t xml:space="preserve">All power units shall be shielded by: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2880" w:hanging="720"/>
      </w:pPr>
      <w:r>
        <w:t>A)</w:t>
      </w:r>
      <w:r>
        <w:tab/>
        <w:t xml:space="preserve">Fencing around unit;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2880" w:hanging="720"/>
      </w:pPr>
      <w:r>
        <w:t>B)</w:t>
      </w:r>
      <w:r>
        <w:tab/>
        <w:t xml:space="preserve">Mesh guarding over unit; or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2880" w:hanging="720"/>
      </w:pPr>
      <w:r>
        <w:t>C)</w:t>
      </w:r>
      <w:r>
        <w:tab/>
        <w:t xml:space="preserve">Total enclosure. </w:t>
      </w:r>
    </w:p>
    <w:p w:rsidR="00457F32" w:rsidRDefault="00457F32" w:rsidP="00C96DA0">
      <w:pPr>
        <w:widowControl w:val="0"/>
        <w:autoSpaceDE w:val="0"/>
        <w:autoSpaceDN w:val="0"/>
        <w:adjustRightInd w:val="0"/>
      </w:pPr>
    </w:p>
    <w:p w:rsidR="00034B4C" w:rsidRDefault="00034B4C" w:rsidP="00034B4C">
      <w:pPr>
        <w:widowControl w:val="0"/>
        <w:autoSpaceDE w:val="0"/>
        <w:autoSpaceDN w:val="0"/>
        <w:adjustRightInd w:val="0"/>
        <w:ind w:left="1440" w:hanging="720"/>
      </w:pPr>
      <w:r>
        <w:t>i)</w:t>
      </w:r>
      <w:r>
        <w:tab/>
        <w:t xml:space="preserve">Leveling and alignment shall be to manufacturers specifications. </w:t>
      </w:r>
    </w:p>
    <w:p w:rsidR="00034B4C" w:rsidRDefault="00034B4C" w:rsidP="00C96DA0">
      <w:pPr>
        <w:widowControl w:val="0"/>
        <w:autoSpaceDE w:val="0"/>
        <w:autoSpaceDN w:val="0"/>
        <w:adjustRightInd w:val="0"/>
      </w:pPr>
      <w:bookmarkStart w:id="0" w:name="_GoBack"/>
      <w:bookmarkEnd w:id="0"/>
    </w:p>
    <w:p w:rsidR="00AD7BD0" w:rsidRPr="00D55B37" w:rsidRDefault="001C2328">
      <w:pPr>
        <w:pStyle w:val="JCARSourceNote"/>
        <w:ind w:left="720"/>
      </w:pPr>
      <w:r>
        <w:t xml:space="preserve">(Source:  Amended at 44 Ill. Reg. </w:t>
      </w:r>
      <w:r w:rsidR="006437B1">
        <w:t>19907</w:t>
      </w:r>
      <w:r>
        <w:t xml:space="preserve">, effective </w:t>
      </w:r>
      <w:r w:rsidR="006437B1">
        <w:t>December 8, 2020</w:t>
      </w:r>
      <w:r>
        <w:t>)</w:t>
      </w:r>
    </w:p>
    <w:sectPr w:rsidR="00AD7BD0" w:rsidRPr="00D55B37" w:rsidSect="001C2328">
      <w:type w:val="continuous"/>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328" w:rsidRDefault="001C2328" w:rsidP="001C2328">
      <w:r>
        <w:separator/>
      </w:r>
    </w:p>
  </w:endnote>
  <w:endnote w:type="continuationSeparator" w:id="0">
    <w:p w:rsidR="001C2328" w:rsidRDefault="001C2328" w:rsidP="001C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328" w:rsidRDefault="001C2328" w:rsidP="001C2328">
      <w:r>
        <w:separator/>
      </w:r>
    </w:p>
  </w:footnote>
  <w:footnote w:type="continuationSeparator" w:id="0">
    <w:p w:rsidR="001C2328" w:rsidRDefault="001C2328" w:rsidP="001C2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4B4C"/>
    <w:rsid w:val="00034B4C"/>
    <w:rsid w:val="001C2328"/>
    <w:rsid w:val="002515F6"/>
    <w:rsid w:val="00457F32"/>
    <w:rsid w:val="005C3366"/>
    <w:rsid w:val="005D0765"/>
    <w:rsid w:val="006437B1"/>
    <w:rsid w:val="00766DC9"/>
    <w:rsid w:val="008637F2"/>
    <w:rsid w:val="00995B12"/>
    <w:rsid w:val="00AD7BD0"/>
    <w:rsid w:val="00B169F5"/>
    <w:rsid w:val="00B93974"/>
    <w:rsid w:val="00C96DA0"/>
    <w:rsid w:val="00D02AE1"/>
    <w:rsid w:val="00EF0359"/>
    <w:rsid w:val="00F93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48E7B7F-906C-4BB0-AE17-35DAED0C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D7BD0"/>
  </w:style>
  <w:style w:type="paragraph" w:styleId="Header">
    <w:name w:val="header"/>
    <w:basedOn w:val="Normal"/>
    <w:link w:val="HeaderChar"/>
    <w:unhideWhenUsed/>
    <w:rsid w:val="001C2328"/>
    <w:pPr>
      <w:tabs>
        <w:tab w:val="center" w:pos="4680"/>
        <w:tab w:val="right" w:pos="9360"/>
      </w:tabs>
    </w:pPr>
  </w:style>
  <w:style w:type="character" w:customStyle="1" w:styleId="HeaderChar">
    <w:name w:val="Header Char"/>
    <w:basedOn w:val="DefaultParagraphFont"/>
    <w:link w:val="Header"/>
    <w:rsid w:val="001C2328"/>
    <w:rPr>
      <w:sz w:val="24"/>
      <w:szCs w:val="24"/>
    </w:rPr>
  </w:style>
  <w:style w:type="paragraph" w:styleId="Footer">
    <w:name w:val="footer"/>
    <w:basedOn w:val="Normal"/>
    <w:link w:val="FooterChar"/>
    <w:unhideWhenUsed/>
    <w:rsid w:val="001C2328"/>
    <w:pPr>
      <w:tabs>
        <w:tab w:val="center" w:pos="4680"/>
        <w:tab w:val="right" w:pos="9360"/>
      </w:tabs>
    </w:pPr>
  </w:style>
  <w:style w:type="character" w:customStyle="1" w:styleId="FooterChar">
    <w:name w:val="Footer Char"/>
    <w:basedOn w:val="DefaultParagraphFont"/>
    <w:link w:val="Footer"/>
    <w:rsid w:val="001C23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6000</vt:lpstr>
    </vt:vector>
  </TitlesOfParts>
  <Company>State of Illinois</Company>
  <LinksUpToDate>false</LinksUpToDate>
  <CharactersWithSpaces>3787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6000</dc:title>
  <dc:subject/>
  <dc:creator>Illinois General Assembly</dc:creator>
  <cp:keywords/>
  <dc:description/>
  <cp:lastModifiedBy>Lane, Arlene L.</cp:lastModifiedBy>
  <cp:revision>4</cp:revision>
  <dcterms:created xsi:type="dcterms:W3CDTF">2020-11-13T18:17:00Z</dcterms:created>
  <dcterms:modified xsi:type="dcterms:W3CDTF">2020-12-21T22:00:00Z</dcterms:modified>
</cp:coreProperties>
</file>