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EDCEF" w14:textId="77777777" w:rsidR="00DC5CCE" w:rsidRPr="008212A2" w:rsidRDefault="00DC5CCE" w:rsidP="008E745E"/>
    <w:p w14:paraId="27EE7660" w14:textId="77777777" w:rsidR="00DC5CCE" w:rsidRPr="008E745E" w:rsidRDefault="00DC5CCE" w:rsidP="008E745E">
      <w:pPr>
        <w:rPr>
          <w:b/>
        </w:rPr>
      </w:pPr>
      <w:r w:rsidRPr="008E745E">
        <w:rPr>
          <w:b/>
        </w:rPr>
        <w:t xml:space="preserve">Section 6000.100  </w:t>
      </w:r>
      <w:r w:rsidR="006D6F53" w:rsidRPr="008E745E">
        <w:rPr>
          <w:b/>
        </w:rPr>
        <w:t xml:space="preserve">Employment of Carnival </w:t>
      </w:r>
      <w:r w:rsidR="00A57D92">
        <w:rPr>
          <w:b/>
        </w:rPr>
        <w:t xml:space="preserve">and Amusement Enterprise </w:t>
      </w:r>
      <w:r w:rsidR="006D6F53" w:rsidRPr="008E745E">
        <w:rPr>
          <w:b/>
        </w:rPr>
        <w:t>Workers</w:t>
      </w:r>
    </w:p>
    <w:p w14:paraId="023FF82D" w14:textId="77777777" w:rsidR="00DC5CCE" w:rsidRPr="008E745E" w:rsidRDefault="00DC5CCE" w:rsidP="008E745E"/>
    <w:p w14:paraId="6B208BC5" w14:textId="2A0DE7CB" w:rsidR="006D6F53" w:rsidRPr="008E745E" w:rsidRDefault="006D6F53" w:rsidP="008E745E">
      <w:pPr>
        <w:ind w:left="1440" w:hanging="720"/>
      </w:pPr>
      <w:r w:rsidRPr="008E745E">
        <w:t>a)</w:t>
      </w:r>
      <w:r w:rsidRPr="008E745E">
        <w:tab/>
        <w:t>All persons that own or operate a carnival</w:t>
      </w:r>
      <w:r w:rsidR="00A57D92" w:rsidRPr="00A57D92">
        <w:t xml:space="preserve">, </w:t>
      </w:r>
      <w:r w:rsidR="00A57D92">
        <w:t>amusement e</w:t>
      </w:r>
      <w:r w:rsidR="00A57D92" w:rsidRPr="00A57D92">
        <w:t>nterprise</w:t>
      </w:r>
      <w:r w:rsidR="00A57D92">
        <w:t>,</w:t>
      </w:r>
      <w:r w:rsidRPr="008E745E">
        <w:t xml:space="preserve"> or fair must conduct </w:t>
      </w:r>
      <w:proofErr w:type="gramStart"/>
      <w:r w:rsidRPr="008E745E">
        <w:t>a criminal history records</w:t>
      </w:r>
      <w:proofErr w:type="gramEnd"/>
      <w:r w:rsidRPr="008E745E">
        <w:t xml:space="preserve"> check and perform a check of the National Sex Offender Public </w:t>
      </w:r>
      <w:r w:rsidR="005A1EDA" w:rsidRPr="008E745E">
        <w:t>Website (</w:t>
      </w:r>
      <w:r w:rsidR="003E5F1F" w:rsidRPr="003E5F1F">
        <w:t>http://www.nsopw.gov</w:t>
      </w:r>
      <w:r w:rsidR="005A1EDA" w:rsidRPr="008E745E">
        <w:t>)</w:t>
      </w:r>
      <w:r w:rsidRPr="008E745E">
        <w:t xml:space="preserve"> for carnival </w:t>
      </w:r>
      <w:r w:rsidR="00A57D92">
        <w:t xml:space="preserve">or amusement enterprise </w:t>
      </w:r>
      <w:r w:rsidRPr="008E745E">
        <w:t xml:space="preserve">workers.  This check must be performed annually for workers. The only exception to the requirement for the annual check is for workers who remain in the continuous employment of the entity.  A worker who works only during the season but works each season is not exempt from the annual check.  The annual check for a seasonal employee must be performed before the employee commences active employment each season. </w:t>
      </w:r>
    </w:p>
    <w:p w14:paraId="5A9EF1F6" w14:textId="77777777" w:rsidR="006D6F53" w:rsidRPr="008E745E" w:rsidRDefault="006D6F53" w:rsidP="008E745E"/>
    <w:p w14:paraId="1EB562C8" w14:textId="4CAB7ED9" w:rsidR="006D6F53" w:rsidRPr="008E745E" w:rsidRDefault="006D6F53" w:rsidP="008E745E">
      <w:pPr>
        <w:ind w:left="1440" w:hanging="720"/>
      </w:pPr>
      <w:r w:rsidRPr="008E745E">
        <w:t>b)</w:t>
      </w:r>
      <w:r w:rsidRPr="008E745E">
        <w:tab/>
        <w:t>No person that owns or operates a carnival</w:t>
      </w:r>
      <w:r w:rsidR="00A57D92" w:rsidRPr="00A57D92">
        <w:t xml:space="preserve">, </w:t>
      </w:r>
      <w:r w:rsidR="00A57D92">
        <w:t>amusement e</w:t>
      </w:r>
      <w:r w:rsidR="00A57D92" w:rsidRPr="00A57D92">
        <w:t>nterprise</w:t>
      </w:r>
      <w:r w:rsidR="00A57D92">
        <w:t>,</w:t>
      </w:r>
      <w:r w:rsidRPr="008E745E">
        <w:t xml:space="preserve"> or fair shall employ a carnival </w:t>
      </w:r>
      <w:r w:rsidR="00A57D92">
        <w:t>or amusement e</w:t>
      </w:r>
      <w:r w:rsidR="00A57D92" w:rsidRPr="00A57D92">
        <w:t>nterprise</w:t>
      </w:r>
      <w:r w:rsidR="00A57D92">
        <w:t xml:space="preserve"> </w:t>
      </w:r>
      <w:r w:rsidRPr="008E745E">
        <w:t>worker who has been convicted of any offense set forth in Article 11 of the Criminal Code of 1961 or the Criminal Code of 2012</w:t>
      </w:r>
      <w:r w:rsidR="005A1EDA" w:rsidRPr="008E745E">
        <w:t xml:space="preserve"> [720 </w:t>
      </w:r>
      <w:proofErr w:type="spellStart"/>
      <w:r w:rsidR="005A1EDA" w:rsidRPr="008E745E">
        <w:t>ILCS</w:t>
      </w:r>
      <w:proofErr w:type="spellEnd"/>
      <w:r w:rsidR="005A1EDA" w:rsidRPr="008E745E">
        <w:t xml:space="preserve"> 5]</w:t>
      </w:r>
      <w:r w:rsidRPr="008E745E">
        <w:t>, is a registered sex offender as defined in the Sex Offender Registration Act</w:t>
      </w:r>
      <w:r w:rsidR="005A1EDA" w:rsidRPr="008E745E">
        <w:t xml:space="preserve"> [730 </w:t>
      </w:r>
      <w:proofErr w:type="spellStart"/>
      <w:r w:rsidR="005A1EDA" w:rsidRPr="008E745E">
        <w:t>ILCS</w:t>
      </w:r>
      <w:proofErr w:type="spellEnd"/>
      <w:r w:rsidR="005A1EDA" w:rsidRPr="008E745E">
        <w:t xml:space="preserve"> 150]</w:t>
      </w:r>
      <w:r w:rsidRPr="008E745E">
        <w:t>, or has ever been convicted of any offense set forth in Article 9 of the Criminal Code of 1961 or 2012.</w:t>
      </w:r>
    </w:p>
    <w:p w14:paraId="2F9B422A" w14:textId="77777777" w:rsidR="006D6F53" w:rsidRPr="008E745E" w:rsidRDefault="006D6F53" w:rsidP="008E745E"/>
    <w:p w14:paraId="7245FEE0" w14:textId="6A2E29C4" w:rsidR="006D6F53" w:rsidRPr="008E745E" w:rsidRDefault="006D6F53" w:rsidP="008E745E">
      <w:pPr>
        <w:ind w:left="1440" w:hanging="720"/>
      </w:pPr>
      <w:r w:rsidRPr="008E745E">
        <w:t>c)</w:t>
      </w:r>
      <w:r w:rsidRPr="008E745E">
        <w:tab/>
        <w:t xml:space="preserve">In order to comply with Section </w:t>
      </w:r>
      <w:r w:rsidR="005C6B9A">
        <w:t>2-</w:t>
      </w:r>
      <w:r w:rsidRPr="008E745E">
        <w:t>20(c) of the Act re</w:t>
      </w:r>
      <w:r w:rsidR="005A1EDA" w:rsidRPr="008E745E">
        <w:t>quiring</w:t>
      </w:r>
      <w:r w:rsidRPr="008E745E">
        <w:t xml:space="preserve"> </w:t>
      </w:r>
      <w:r w:rsidR="006F708D">
        <w:t xml:space="preserve">and maintaining </w:t>
      </w:r>
      <w:r w:rsidRPr="008E745E">
        <w:t xml:space="preserve">a substance abuse policy </w:t>
      </w:r>
      <w:r w:rsidR="005A1EDA" w:rsidRPr="008E745E">
        <w:t>t</w:t>
      </w:r>
      <w:r w:rsidRPr="008E745E">
        <w:t>h</w:t>
      </w:r>
      <w:r w:rsidR="005A1EDA" w:rsidRPr="008E745E">
        <w:t>at must</w:t>
      </w:r>
      <w:r w:rsidRPr="008E745E">
        <w:t xml:space="preserve"> include random drug testing, the </w:t>
      </w:r>
      <w:r w:rsidR="006F708D">
        <w:t>owner or operator of</w:t>
      </w:r>
      <w:r w:rsidRPr="008E745E">
        <w:t xml:space="preserve"> the carnival</w:t>
      </w:r>
      <w:r w:rsidR="00A57D92" w:rsidRPr="00A57D92">
        <w:t xml:space="preserve">, </w:t>
      </w:r>
      <w:r w:rsidR="00A57D92">
        <w:t>amusement e</w:t>
      </w:r>
      <w:r w:rsidR="00A57D92" w:rsidRPr="00A57D92">
        <w:t>nterprise</w:t>
      </w:r>
      <w:r w:rsidR="00A57D92">
        <w:t>,</w:t>
      </w:r>
      <w:r w:rsidRPr="008E745E">
        <w:t xml:space="preserve"> or fair must demonstrate the policy is enforced in practice.</w:t>
      </w:r>
      <w:r w:rsidR="005A1EDA" w:rsidRPr="008E745E">
        <w:t xml:space="preserve"> </w:t>
      </w:r>
      <w:r w:rsidRPr="008E745E">
        <w:t xml:space="preserve"> The policy must be in wr</w:t>
      </w:r>
      <w:r w:rsidR="005A1EDA" w:rsidRPr="008E745E">
        <w:t>iting</w:t>
      </w:r>
      <w:r w:rsidRPr="008E745E">
        <w:t xml:space="preserve"> and must have been distributed to all affected employees, and there must be records documenting </w:t>
      </w:r>
      <w:proofErr w:type="gramStart"/>
      <w:r w:rsidRPr="008E745E">
        <w:t>that employees</w:t>
      </w:r>
      <w:proofErr w:type="gramEnd"/>
      <w:r w:rsidRPr="008E745E">
        <w:t xml:space="preserve"> have undergone random drug testing.  The requirements of the Act are not satisfied if the random drug testing procedure has not been implemented in practice.  </w:t>
      </w:r>
    </w:p>
    <w:p w14:paraId="024FCB5E" w14:textId="657A1A02" w:rsidR="00DC5CCE" w:rsidRDefault="00DC5CCE" w:rsidP="00DC5CCE">
      <w:pPr>
        <w:widowControl w:val="0"/>
        <w:autoSpaceDE w:val="0"/>
        <w:autoSpaceDN w:val="0"/>
        <w:adjustRightInd w:val="0"/>
      </w:pPr>
    </w:p>
    <w:p w14:paraId="0A04E8A1" w14:textId="13746CB8" w:rsidR="006F708D" w:rsidRPr="006F708D" w:rsidRDefault="006F708D" w:rsidP="006F708D">
      <w:pPr>
        <w:ind w:left="1440" w:hanging="720"/>
      </w:pPr>
      <w:r w:rsidRPr="006F708D">
        <w:t>d)</w:t>
      </w:r>
      <w:r w:rsidRPr="006F708D">
        <w:tab/>
        <w:t xml:space="preserve">An owner or operator who conducts the background checks required by subsections </w:t>
      </w:r>
      <w:r w:rsidR="00AB3A76">
        <w:t>(</w:t>
      </w:r>
      <w:r w:rsidRPr="006F708D">
        <w:t>a</w:t>
      </w:r>
      <w:r w:rsidR="00AB3A76">
        <w:t>)</w:t>
      </w:r>
      <w:r w:rsidRPr="006F708D">
        <w:t xml:space="preserve"> and </w:t>
      </w:r>
      <w:r w:rsidR="00AB3A76">
        <w:t>(</w:t>
      </w:r>
      <w:r w:rsidRPr="006F708D">
        <w:t>b</w:t>
      </w:r>
      <w:r w:rsidR="00AB3A76">
        <w:t>)</w:t>
      </w:r>
      <w:r w:rsidRPr="006F708D">
        <w:t xml:space="preserve">, using false </w:t>
      </w:r>
      <w:r w:rsidRPr="006F708D">
        <w:rPr>
          <w:i/>
          <w:iCs/>
        </w:rPr>
        <w:t>personal information submitted by a carnival or amusement enterprise worker for criminal history records check purposes,</w:t>
      </w:r>
      <w:r w:rsidRPr="006F708D">
        <w:t xml:space="preserve"> commits a violation of this Section if </w:t>
      </w:r>
      <w:r w:rsidRPr="006F708D">
        <w:rPr>
          <w:i/>
          <w:iCs/>
        </w:rPr>
        <w:t>the owner or operator knew or reasonably should have known that the information was falsified</w:t>
      </w:r>
      <w:r w:rsidRPr="006F708D">
        <w:t xml:space="preserve">. [430 </w:t>
      </w:r>
      <w:proofErr w:type="spellStart"/>
      <w:r w:rsidRPr="006F708D">
        <w:t>ILCS</w:t>
      </w:r>
      <w:proofErr w:type="spellEnd"/>
      <w:r w:rsidRPr="006F708D">
        <w:t xml:space="preserve"> 82/2-20]</w:t>
      </w:r>
    </w:p>
    <w:p w14:paraId="795D1644" w14:textId="6CB44F69" w:rsidR="006F708D" w:rsidRPr="006F708D" w:rsidRDefault="006F708D" w:rsidP="000E5588"/>
    <w:p w14:paraId="032C2E3C" w14:textId="0BF7522D" w:rsidR="006F708D" w:rsidRPr="006F708D" w:rsidRDefault="006F708D" w:rsidP="006F708D">
      <w:pPr>
        <w:ind w:left="1440" w:hanging="720"/>
      </w:pPr>
      <w:r w:rsidRPr="006F708D">
        <w:t>e)</w:t>
      </w:r>
      <w:r w:rsidRPr="006F708D">
        <w:tab/>
        <w:t xml:space="preserve">In order to comply with Section 2-20 (h) of the Act </w:t>
      </w:r>
      <w:r w:rsidRPr="006F708D">
        <w:rPr>
          <w:i/>
          <w:iCs/>
        </w:rPr>
        <w:t xml:space="preserve">at all times that an amusement ride or amusement attraction is in use an owner or operator shall ensure that at least one </w:t>
      </w:r>
      <w:r w:rsidR="0098330A" w:rsidRPr="00490D59">
        <w:t>employee</w:t>
      </w:r>
      <w:r w:rsidR="0098330A">
        <w:rPr>
          <w:i/>
          <w:iCs/>
        </w:rPr>
        <w:t xml:space="preserve"> </w:t>
      </w:r>
      <w:r w:rsidRPr="006F708D">
        <w:rPr>
          <w:i/>
          <w:iCs/>
        </w:rPr>
        <w:t>working on site has been certified to provide first aid and cardiopulmonary resuscitation (CPR)</w:t>
      </w:r>
      <w:r w:rsidRPr="006F708D">
        <w:t xml:space="preserve">. [430 </w:t>
      </w:r>
      <w:proofErr w:type="spellStart"/>
      <w:r w:rsidRPr="006F708D">
        <w:t>ILCS</w:t>
      </w:r>
      <w:proofErr w:type="spellEnd"/>
      <w:r w:rsidRPr="006F708D">
        <w:t xml:space="preserve"> 85/2-20]</w:t>
      </w:r>
    </w:p>
    <w:p w14:paraId="1844BCAF" w14:textId="50F66D44" w:rsidR="006F708D" w:rsidRDefault="006F708D" w:rsidP="00DC5CCE">
      <w:pPr>
        <w:widowControl w:val="0"/>
        <w:autoSpaceDE w:val="0"/>
        <w:autoSpaceDN w:val="0"/>
        <w:adjustRightInd w:val="0"/>
      </w:pPr>
    </w:p>
    <w:p w14:paraId="4A398F84" w14:textId="77B1D10C" w:rsidR="006D6F53" w:rsidRDefault="006F708D" w:rsidP="006D6F53">
      <w:pPr>
        <w:widowControl w:val="0"/>
        <w:autoSpaceDE w:val="0"/>
        <w:autoSpaceDN w:val="0"/>
        <w:adjustRightInd w:val="0"/>
        <w:ind w:left="720"/>
      </w:pPr>
      <w:r w:rsidRPr="00524821">
        <w:t>(Source:  Amended at 4</w:t>
      </w:r>
      <w:r w:rsidR="00C77A3F">
        <w:t>9</w:t>
      </w:r>
      <w:r w:rsidRPr="00524821">
        <w:t xml:space="preserve"> Ill. Reg. </w:t>
      </w:r>
      <w:r w:rsidR="00D508CB">
        <w:t>6097</w:t>
      </w:r>
      <w:r w:rsidRPr="00524821">
        <w:t xml:space="preserve">, effective </w:t>
      </w:r>
      <w:r w:rsidR="00D508CB">
        <w:t>April 25, 2025</w:t>
      </w:r>
      <w:r w:rsidRPr="00524821">
        <w:t>)</w:t>
      </w:r>
    </w:p>
    <w:sectPr w:rsidR="006D6F53" w:rsidSect="00A57D92">
      <w:type w:val="continuous"/>
      <w:pgSz w:w="12240" w:h="15840"/>
      <w:pgMar w:top="1440" w:right="1440" w:bottom="1440" w:left="1440" w:header="1440" w:footer="14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92AC5" w14:textId="77777777" w:rsidR="00A57D92" w:rsidRDefault="00A57D92" w:rsidP="00A57D92">
      <w:r>
        <w:separator/>
      </w:r>
    </w:p>
  </w:endnote>
  <w:endnote w:type="continuationSeparator" w:id="0">
    <w:p w14:paraId="6E1623BB" w14:textId="77777777" w:rsidR="00A57D92" w:rsidRDefault="00A57D92" w:rsidP="00A57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3A7E7" w14:textId="77777777" w:rsidR="00A57D92" w:rsidRDefault="00A57D92" w:rsidP="00A57D92">
      <w:r>
        <w:separator/>
      </w:r>
    </w:p>
  </w:footnote>
  <w:footnote w:type="continuationSeparator" w:id="0">
    <w:p w14:paraId="0AC931AE" w14:textId="77777777" w:rsidR="00A57D92" w:rsidRDefault="00A57D92" w:rsidP="00A57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C50CA"/>
    <w:multiLevelType w:val="hybridMultilevel"/>
    <w:tmpl w:val="462218AE"/>
    <w:lvl w:ilvl="0" w:tplc="50842926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43743BFA">
      <w:start w:val="1"/>
      <w:numFmt w:val="decimal"/>
      <w:lvlText w:val="%2)"/>
      <w:lvlJc w:val="left"/>
      <w:pPr>
        <w:ind w:left="2340" w:hanging="360"/>
      </w:pPr>
      <w:rPr>
        <w:rFonts w:ascii="Times New Roman" w:eastAsia="Times New Roman" w:hAnsi="Times New Roman" w:cs="Times New Roman"/>
        <w:color w:val="FF000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5CCE"/>
    <w:rsid w:val="0004485A"/>
    <w:rsid w:val="000E455A"/>
    <w:rsid w:val="000E5588"/>
    <w:rsid w:val="00131BAD"/>
    <w:rsid w:val="00196249"/>
    <w:rsid w:val="001C0D18"/>
    <w:rsid w:val="002018C8"/>
    <w:rsid w:val="002F434E"/>
    <w:rsid w:val="003343C6"/>
    <w:rsid w:val="003404F9"/>
    <w:rsid w:val="003E5F1F"/>
    <w:rsid w:val="00490D59"/>
    <w:rsid w:val="005A1EDA"/>
    <w:rsid w:val="005C3366"/>
    <w:rsid w:val="005C5B2C"/>
    <w:rsid w:val="005C6B9A"/>
    <w:rsid w:val="006D6F53"/>
    <w:rsid w:val="006F708D"/>
    <w:rsid w:val="008212A2"/>
    <w:rsid w:val="008E745E"/>
    <w:rsid w:val="0098330A"/>
    <w:rsid w:val="00A57D92"/>
    <w:rsid w:val="00AA3898"/>
    <w:rsid w:val="00AB3A76"/>
    <w:rsid w:val="00B14256"/>
    <w:rsid w:val="00B951AE"/>
    <w:rsid w:val="00C77A3F"/>
    <w:rsid w:val="00CB151E"/>
    <w:rsid w:val="00D00864"/>
    <w:rsid w:val="00D508CB"/>
    <w:rsid w:val="00DC5CCE"/>
    <w:rsid w:val="00F0692B"/>
    <w:rsid w:val="00F87495"/>
    <w:rsid w:val="00FA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68B58B"/>
  <w15:docId w15:val="{70BF2DBF-6987-4122-B98F-919E71AD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B151E"/>
  </w:style>
  <w:style w:type="paragraph" w:styleId="ListParagraph">
    <w:name w:val="List Paragraph"/>
    <w:basedOn w:val="Normal"/>
    <w:uiPriority w:val="34"/>
    <w:qFormat/>
    <w:rsid w:val="006D6F53"/>
    <w:pPr>
      <w:ind w:left="720"/>
      <w:contextualSpacing/>
    </w:pPr>
  </w:style>
  <w:style w:type="character" w:styleId="HTMLCode">
    <w:name w:val="HTML Code"/>
    <w:basedOn w:val="DefaultParagraphFont"/>
    <w:uiPriority w:val="99"/>
    <w:unhideWhenUsed/>
    <w:rsid w:val="006D6F53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nhideWhenUsed/>
    <w:rsid w:val="00A57D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57D92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A57D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57D92"/>
    <w:rPr>
      <w:sz w:val="24"/>
      <w:szCs w:val="24"/>
    </w:rPr>
  </w:style>
  <w:style w:type="character" w:styleId="Hyperlink">
    <w:name w:val="Hyperlink"/>
    <w:basedOn w:val="DefaultParagraphFont"/>
    <w:unhideWhenUsed/>
    <w:rsid w:val="003E5F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5F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6000</vt:lpstr>
    </vt:vector>
  </TitlesOfParts>
  <Company>State of Illinois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6000</dc:title>
  <dc:subject/>
  <dc:creator>Illinois General Assembly</dc:creator>
  <cp:keywords/>
  <dc:description/>
  <cp:lastModifiedBy>Shipley, Melissa A.</cp:lastModifiedBy>
  <cp:revision>4</cp:revision>
  <dcterms:created xsi:type="dcterms:W3CDTF">2025-04-15T14:24:00Z</dcterms:created>
  <dcterms:modified xsi:type="dcterms:W3CDTF">2025-05-09T13:01:00Z</dcterms:modified>
</cp:coreProperties>
</file>