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59" w:rsidRDefault="00E35D59" w:rsidP="00E35D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D59" w:rsidRDefault="00E35D59" w:rsidP="00E35D59">
      <w:pPr>
        <w:widowControl w:val="0"/>
        <w:autoSpaceDE w:val="0"/>
        <w:autoSpaceDN w:val="0"/>
        <w:adjustRightInd w:val="0"/>
      </w:pPr>
      <w:r>
        <w:t xml:space="preserve">AUTHORITY:  Implementing and authorized by the Prairie State 2000 Authority Act (Ill. Rev. Stat. 1991, ch. 48, par. 1501 et seq.) and Public Act 87-661, Section 5, effective January 1, 1992. </w:t>
      </w:r>
    </w:p>
    <w:sectPr w:rsidR="00E35D59" w:rsidSect="00E35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D59"/>
    <w:rsid w:val="001B09F3"/>
    <w:rsid w:val="001D07EF"/>
    <w:rsid w:val="005C3366"/>
    <w:rsid w:val="00A55DD7"/>
    <w:rsid w:val="00E3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Prairie State 2000 Authority Act (Ill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Prairie State 2000 Authority Act (Ill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