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B1" w:rsidRDefault="004F3FB1" w:rsidP="004F3F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FB1" w:rsidRDefault="004F3FB1" w:rsidP="004F3F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5220.300  The Bona Fide Qualification Exception</w:t>
      </w:r>
      <w:r>
        <w:t xml:space="preserve"> </w:t>
      </w:r>
    </w:p>
    <w:p w:rsidR="004F3FB1" w:rsidRDefault="004F3FB1" w:rsidP="004F3FB1">
      <w:pPr>
        <w:widowControl w:val="0"/>
        <w:autoSpaceDE w:val="0"/>
        <w:autoSpaceDN w:val="0"/>
        <w:adjustRightInd w:val="0"/>
      </w:pPr>
    </w:p>
    <w:p w:rsidR="004F3FB1" w:rsidRDefault="004F3FB1" w:rsidP="004F3FB1">
      <w:pPr>
        <w:widowControl w:val="0"/>
        <w:autoSpaceDE w:val="0"/>
        <w:autoSpaceDN w:val="0"/>
        <w:adjustRightInd w:val="0"/>
      </w:pPr>
      <w:r>
        <w:t xml:space="preserve">The exemption stated in section 2-104(A) of the Human Rights Act, which allows discrimination if national origin is a bona fide occupational qualification will be strictly construed.  The burden is on the employer to prove that no person of a particular national origin can perform the job in an acceptable manner. </w:t>
      </w:r>
    </w:p>
    <w:sectPr w:rsidR="004F3FB1" w:rsidSect="004F3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FB1"/>
    <w:rsid w:val="000C6E07"/>
    <w:rsid w:val="00404433"/>
    <w:rsid w:val="004F3FB1"/>
    <w:rsid w:val="005C3366"/>
    <w:rsid w:val="008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5220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