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E3" w:rsidRDefault="00E958E3" w:rsidP="00E95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8E3" w:rsidRDefault="00E958E3" w:rsidP="00E958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5210.80  Marital, Parental Status</w:t>
      </w:r>
      <w:r>
        <w:t xml:space="preserve"> </w:t>
      </w:r>
    </w:p>
    <w:p w:rsidR="00E958E3" w:rsidRDefault="00E958E3" w:rsidP="00E958E3">
      <w:pPr>
        <w:widowControl w:val="0"/>
        <w:autoSpaceDE w:val="0"/>
        <w:autoSpaceDN w:val="0"/>
        <w:adjustRightInd w:val="0"/>
      </w:pPr>
    </w:p>
    <w:p w:rsidR="00E958E3" w:rsidRDefault="00E958E3" w:rsidP="00E958E3">
      <w:pPr>
        <w:widowControl w:val="0"/>
        <w:autoSpaceDE w:val="0"/>
        <w:autoSpaceDN w:val="0"/>
        <w:adjustRightInd w:val="0"/>
      </w:pPr>
      <w:r>
        <w:t xml:space="preserve">An employer's rule or policy which restricts the employment opportunities of married women but not of married men discriminates against women because of sex in violation of the Act.  Similarly, a rule or policy which restricts the employment opportunities of women (married or unmarried) with minor children, discriminates against women in violation of the Act. </w:t>
      </w:r>
    </w:p>
    <w:sectPr w:rsidR="00E958E3" w:rsidSect="00E95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8E3"/>
    <w:rsid w:val="00062AE7"/>
    <w:rsid w:val="005C3366"/>
    <w:rsid w:val="00B169D2"/>
    <w:rsid w:val="00C2033A"/>
    <w:rsid w:val="00E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5210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