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DB6" w:rsidRPr="00942DB6" w:rsidRDefault="00942DB6" w:rsidP="00942DB6"/>
    <w:p w:rsidR="00942DB6" w:rsidRPr="00942DB6" w:rsidRDefault="00942DB6" w:rsidP="00942DB6">
      <w:pPr>
        <w:rPr>
          <w:b/>
        </w:rPr>
      </w:pPr>
      <w:r w:rsidRPr="00942DB6">
        <w:rPr>
          <w:b/>
        </w:rPr>
        <w:t>Section 2970.1  Extended Benefit Period and High Unemployment Period During COVID-19 Pandemic</w:t>
      </w:r>
    </w:p>
    <w:p w:rsidR="00942DB6" w:rsidRPr="00942DB6" w:rsidRDefault="00942DB6" w:rsidP="00942DB6"/>
    <w:p w:rsidR="00942DB6" w:rsidRPr="00942DB6" w:rsidRDefault="00942DB6" w:rsidP="00942DB6">
      <w:r w:rsidRPr="00942DB6">
        <w:t>As of the week beginning December 27, 2020, notwithstanding Section 409(A)(1) of the Act, the extended benefit period beginning May 24, 2020 by virtue of the trigger specified in Section 409(A)(2)(b) of the Act being met remained in effect without lapse, and the high unemployment period beginning July 5, 2020 by virtue of the trigger specified in Section 409(F)(2) of the Act being met remained in effect without lapse. Thereafter, the extended benefit period as described above shall remain in effect through the third week after the first week for which the trigger specified in Section 409(A)(2)(b) of the Act is not met, and benefits payable under the high unemployment period remained in effect until February 20, 2021 under the trigger specified in Section 409(F)(2) of the Act.</w:t>
      </w:r>
      <w:bookmarkStart w:id="0" w:name="_GoBack"/>
      <w:bookmarkEnd w:id="0"/>
    </w:p>
    <w:sectPr w:rsidR="00942DB6" w:rsidRPr="00942D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E96" w:rsidRDefault="00DC3E96">
      <w:r>
        <w:separator/>
      </w:r>
    </w:p>
  </w:endnote>
  <w:endnote w:type="continuationSeparator" w:id="0">
    <w:p w:rsidR="00DC3E96" w:rsidRDefault="00DC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E96" w:rsidRDefault="00DC3E96">
      <w:r>
        <w:separator/>
      </w:r>
    </w:p>
  </w:footnote>
  <w:footnote w:type="continuationSeparator" w:id="0">
    <w:p w:rsidR="00DC3E96" w:rsidRDefault="00DC3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DB6"/>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E96"/>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4302C-04AD-42AF-A44A-C866573B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4232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743</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2021-05-11T15:16:00Z</dcterms:created>
  <dcterms:modified xsi:type="dcterms:W3CDTF">2021-05-11T15:40:00Z</dcterms:modified>
</cp:coreProperties>
</file>