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D84" w:rsidRDefault="00374D84" w:rsidP="00374D84">
      <w:pPr>
        <w:widowControl w:val="0"/>
        <w:autoSpaceDE w:val="0"/>
        <w:autoSpaceDN w:val="0"/>
        <w:adjustRightInd w:val="0"/>
      </w:pPr>
    </w:p>
    <w:p w:rsidR="00374D84" w:rsidRDefault="00374D84" w:rsidP="00374D84">
      <w:pPr>
        <w:widowControl w:val="0"/>
        <w:autoSpaceDE w:val="0"/>
        <w:autoSpaceDN w:val="0"/>
        <w:adjustRightInd w:val="0"/>
      </w:pPr>
      <w:r>
        <w:rPr>
          <w:b/>
          <w:bCs/>
        </w:rPr>
        <w:t xml:space="preserve">Section 2915.43  Eligibility of Employees Working </w:t>
      </w:r>
      <w:r w:rsidR="00800F1B">
        <w:rPr>
          <w:b/>
          <w:bCs/>
        </w:rPr>
        <w:t>for an</w:t>
      </w:r>
      <w:r>
        <w:rPr>
          <w:b/>
          <w:bCs/>
        </w:rPr>
        <w:t xml:space="preserve"> Academic Employer Who Cross Over Within </w:t>
      </w:r>
      <w:r w:rsidR="00800F1B">
        <w:rPr>
          <w:b/>
          <w:bCs/>
        </w:rPr>
        <w:t>an</w:t>
      </w:r>
      <w:r>
        <w:rPr>
          <w:b/>
          <w:bCs/>
        </w:rPr>
        <w:t xml:space="preserve"> Academic Year </w:t>
      </w:r>
      <w:r w:rsidR="00800F1B">
        <w:rPr>
          <w:b/>
          <w:bCs/>
        </w:rPr>
        <w:t>or</w:t>
      </w:r>
      <w:r>
        <w:rPr>
          <w:b/>
          <w:bCs/>
        </w:rPr>
        <w:t xml:space="preserve"> Term </w:t>
      </w:r>
      <w:r w:rsidR="00800F1B">
        <w:rPr>
          <w:b/>
          <w:bCs/>
        </w:rPr>
        <w:t>to</w:t>
      </w:r>
      <w:r>
        <w:rPr>
          <w:b/>
          <w:bCs/>
        </w:rPr>
        <w:t xml:space="preserve"> Work </w:t>
      </w:r>
      <w:r w:rsidR="00800F1B">
        <w:rPr>
          <w:b/>
          <w:bCs/>
        </w:rPr>
        <w:t>for a</w:t>
      </w:r>
      <w:r>
        <w:rPr>
          <w:b/>
          <w:bCs/>
        </w:rPr>
        <w:t xml:space="preserve"> Non-Academic Employer </w:t>
      </w:r>
      <w:r w:rsidR="00800F1B">
        <w:rPr>
          <w:b/>
          <w:bCs/>
        </w:rPr>
        <w:t>or for</w:t>
      </w:r>
      <w:r>
        <w:rPr>
          <w:b/>
          <w:bCs/>
        </w:rPr>
        <w:t xml:space="preserve"> Another Type </w:t>
      </w:r>
      <w:r w:rsidR="00800F1B">
        <w:rPr>
          <w:b/>
          <w:bCs/>
        </w:rPr>
        <w:t>of</w:t>
      </w:r>
      <w:r>
        <w:rPr>
          <w:b/>
          <w:bCs/>
        </w:rPr>
        <w:t xml:space="preserve"> Academic Employer</w:t>
      </w:r>
      <w:r>
        <w:t xml:space="preserve"> </w:t>
      </w:r>
    </w:p>
    <w:p w:rsidR="00374D84" w:rsidRDefault="00374D84" w:rsidP="00374D84">
      <w:pPr>
        <w:widowControl w:val="0"/>
        <w:autoSpaceDE w:val="0"/>
        <w:autoSpaceDN w:val="0"/>
        <w:adjustRightInd w:val="0"/>
      </w:pPr>
    </w:p>
    <w:p w:rsidR="00374D84" w:rsidRDefault="00374D84" w:rsidP="00A06CD0">
      <w:pPr>
        <w:widowControl w:val="0"/>
        <w:autoSpaceDE w:val="0"/>
        <w:autoSpaceDN w:val="0"/>
        <w:adjustRightInd w:val="0"/>
      </w:pPr>
      <w:r>
        <w:t>If an individual crosses over from an academic employer</w:t>
      </w:r>
      <w:r w:rsidR="00267829">
        <w:t>(</w:t>
      </w:r>
      <w:r w:rsidR="006257E3">
        <w:t>s</w:t>
      </w:r>
      <w:r w:rsidR="00267829">
        <w:t xml:space="preserve">ee </w:t>
      </w:r>
      <w:r>
        <w:t>Section 2915.40(b)</w:t>
      </w:r>
      <w:r w:rsidR="00267829">
        <w:t>)</w:t>
      </w:r>
      <w:r>
        <w:t xml:space="preserve"> a non-academic employer, or from one type of academic employer to another, following a vacation period or holiday recess within an academic year or term, the ineligibility imposed by Section 612 of the Act does not apply. This is true no matter in what capacity the individual performs services after the vacation period or holiday recess within an academic year or term for the subsequent employer. </w:t>
      </w:r>
    </w:p>
    <w:p w:rsidR="00A06CD0" w:rsidRDefault="00A06CD0" w:rsidP="00A06CD0">
      <w:pPr>
        <w:widowControl w:val="0"/>
        <w:autoSpaceDE w:val="0"/>
        <w:autoSpaceDN w:val="0"/>
        <w:adjustRightInd w:val="0"/>
      </w:pPr>
    </w:p>
    <w:p w:rsidR="00374D84" w:rsidRDefault="001C6DC3" w:rsidP="00A06CD0">
      <w:pPr>
        <w:widowControl w:val="0"/>
        <w:autoSpaceDE w:val="0"/>
        <w:autoSpaceDN w:val="0"/>
        <w:adjustRightInd w:val="0"/>
        <w:ind w:left="741"/>
      </w:pPr>
      <w:r>
        <w:t>EXAMPLE</w:t>
      </w:r>
      <w:r w:rsidR="00374D84">
        <w:t xml:space="preserve">:  If a teacher employed by an educational institution receives assurance that at the end of the Christmas holidays his services as a teacher will continue in January in the employ of an educational service agency, the ineligibility imposed by Section 612 </w:t>
      </w:r>
      <w:r w:rsidR="00A16145">
        <w:t xml:space="preserve">of the Act </w:t>
      </w:r>
      <w:r w:rsidR="00374D84">
        <w:t xml:space="preserve">does not apply because the services performed immediately subsequent to the vacation period are not performed for the same type of academic employer. </w:t>
      </w:r>
    </w:p>
    <w:p w:rsidR="00374D84" w:rsidRDefault="00374D84" w:rsidP="00687095">
      <w:pPr>
        <w:widowControl w:val="0"/>
        <w:autoSpaceDE w:val="0"/>
        <w:autoSpaceDN w:val="0"/>
        <w:adjustRightInd w:val="0"/>
      </w:pPr>
    </w:p>
    <w:p w:rsidR="00374D84" w:rsidRDefault="00800F1B" w:rsidP="00374D84">
      <w:pPr>
        <w:widowControl w:val="0"/>
        <w:autoSpaceDE w:val="0"/>
        <w:autoSpaceDN w:val="0"/>
        <w:adjustRightInd w:val="0"/>
        <w:ind w:left="1440" w:hanging="720"/>
      </w:pPr>
      <w:r>
        <w:t xml:space="preserve">(Source:  Amended at 43 Ill. Reg. </w:t>
      </w:r>
      <w:r w:rsidR="00D77CB2">
        <w:t>6555</w:t>
      </w:r>
      <w:r>
        <w:t xml:space="preserve">, effective </w:t>
      </w:r>
      <w:bookmarkStart w:id="0" w:name="_GoBack"/>
      <w:r w:rsidR="00D77CB2">
        <w:t>May 14, 2019</w:t>
      </w:r>
      <w:bookmarkEnd w:id="0"/>
      <w:r>
        <w:t>)</w:t>
      </w:r>
    </w:p>
    <w:sectPr w:rsidR="00374D84" w:rsidSect="00374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D84"/>
    <w:rsid w:val="001C6DC3"/>
    <w:rsid w:val="00230230"/>
    <w:rsid w:val="00267829"/>
    <w:rsid w:val="00374D84"/>
    <w:rsid w:val="005C3366"/>
    <w:rsid w:val="006257E3"/>
    <w:rsid w:val="00687095"/>
    <w:rsid w:val="00752CD2"/>
    <w:rsid w:val="00800F1B"/>
    <w:rsid w:val="00A06CD0"/>
    <w:rsid w:val="00A16145"/>
    <w:rsid w:val="00D77CB2"/>
    <w:rsid w:val="00F359F6"/>
    <w:rsid w:val="00FB7D55"/>
    <w:rsid w:val="00FD2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0F830C-FB1F-4A0A-9DAE-6681919A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2915</vt:lpstr>
    </vt:vector>
  </TitlesOfParts>
  <Company>State of Illinois</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2915</dc:title>
  <dc:subject/>
  <dc:creator>Illinois General Assembly</dc:creator>
  <cp:keywords/>
  <dc:description/>
  <cp:lastModifiedBy>Lane, Arlene L.</cp:lastModifiedBy>
  <cp:revision>3</cp:revision>
  <dcterms:created xsi:type="dcterms:W3CDTF">2019-04-01T17:06:00Z</dcterms:created>
  <dcterms:modified xsi:type="dcterms:W3CDTF">2019-05-29T20:30:00Z</dcterms:modified>
</cp:coreProperties>
</file>