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5B" w:rsidRDefault="00996D5B" w:rsidP="00996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D5B" w:rsidRDefault="00996D5B" w:rsidP="00996D5B">
      <w:pPr>
        <w:widowControl w:val="0"/>
        <w:autoSpaceDE w:val="0"/>
        <w:autoSpaceDN w:val="0"/>
        <w:adjustRightInd w:val="0"/>
        <w:jc w:val="center"/>
      </w:pPr>
      <w:r>
        <w:t>SUBPART B:  ALTERNATIVE BENEFIT WAGE RATIO (Repealed)</w:t>
      </w:r>
    </w:p>
    <w:sectPr w:rsidR="00996D5B" w:rsidSect="00996D5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D5B"/>
    <w:rsid w:val="00134F13"/>
    <w:rsid w:val="007345FE"/>
    <w:rsid w:val="009007EA"/>
    <w:rsid w:val="00996D5B"/>
    <w:rsid w:val="00F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ALTERNATIVE BENEFIT WAGE RATIO (Repealed)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ALTERNATIVE BENEFIT WAGE RATIO (Repealed)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