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DAD" w:rsidRDefault="004B0DAD" w:rsidP="004B0DAD">
      <w:pPr>
        <w:widowControl w:val="0"/>
        <w:autoSpaceDE w:val="0"/>
        <w:autoSpaceDN w:val="0"/>
        <w:adjustRightInd w:val="0"/>
      </w:pPr>
      <w:bookmarkStart w:id="0" w:name="_GoBack"/>
      <w:bookmarkEnd w:id="0"/>
    </w:p>
    <w:p w:rsidR="004B0DAD" w:rsidRDefault="004B0DAD" w:rsidP="004B0DAD">
      <w:pPr>
        <w:widowControl w:val="0"/>
        <w:autoSpaceDE w:val="0"/>
        <w:autoSpaceDN w:val="0"/>
        <w:adjustRightInd w:val="0"/>
      </w:pPr>
      <w:r>
        <w:rPr>
          <w:b/>
          <w:bCs/>
        </w:rPr>
        <w:t>Section 2725.5  Designation Of Agents</w:t>
      </w:r>
      <w:r>
        <w:t xml:space="preserve"> </w:t>
      </w:r>
    </w:p>
    <w:p w:rsidR="004B0DAD" w:rsidRDefault="004B0DAD" w:rsidP="004B0DAD">
      <w:pPr>
        <w:widowControl w:val="0"/>
        <w:autoSpaceDE w:val="0"/>
        <w:autoSpaceDN w:val="0"/>
        <w:adjustRightInd w:val="0"/>
      </w:pPr>
    </w:p>
    <w:p w:rsidR="004B0DAD" w:rsidRDefault="004B0DAD" w:rsidP="004B0DAD">
      <w:pPr>
        <w:widowControl w:val="0"/>
        <w:autoSpaceDE w:val="0"/>
        <w:autoSpaceDN w:val="0"/>
        <w:adjustRightInd w:val="0"/>
      </w:pPr>
      <w:r>
        <w:t xml:space="preserve">Any employing unit may designate an agent to receive any documents by filing the name and address of such agent with the Agency or by changing its designated address to be in care of its agent.  In such cases, notice to the designated agent is notice to the employing unit.  Notwithstanding the foregoing, such documents sent to an employing unit shall be adequate notice under this Subpart. </w:t>
      </w:r>
    </w:p>
    <w:sectPr w:rsidR="004B0DAD" w:rsidSect="004B0D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0DAD"/>
    <w:rsid w:val="002F3ECF"/>
    <w:rsid w:val="00376EEF"/>
    <w:rsid w:val="004B0DAD"/>
    <w:rsid w:val="005C3366"/>
    <w:rsid w:val="00F1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