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C0" w:rsidRDefault="00B378C0" w:rsidP="00B378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8C0" w:rsidRDefault="00B378C0" w:rsidP="00B378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2720.3  "Week" In Relation To "Benefit Year"</w:t>
      </w:r>
      <w:r>
        <w:t xml:space="preserve"> </w:t>
      </w:r>
    </w:p>
    <w:p w:rsidR="00B378C0" w:rsidRDefault="00B378C0" w:rsidP="00B378C0">
      <w:pPr>
        <w:widowControl w:val="0"/>
        <w:autoSpaceDE w:val="0"/>
        <w:autoSpaceDN w:val="0"/>
        <w:adjustRightInd w:val="0"/>
      </w:pPr>
    </w:p>
    <w:p w:rsidR="00B378C0" w:rsidRDefault="00B378C0" w:rsidP="00B378C0">
      <w:pPr>
        <w:widowControl w:val="0"/>
        <w:autoSpaceDE w:val="0"/>
        <w:autoSpaceDN w:val="0"/>
        <w:adjustRightInd w:val="0"/>
      </w:pPr>
      <w:r>
        <w:t xml:space="preserve">A week shall be deemed to be within the benefit year which includes the ending date of such week. </w:t>
      </w:r>
    </w:p>
    <w:p w:rsidR="00B378C0" w:rsidRDefault="00B378C0" w:rsidP="00B378C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Example:  The individual's benefit year ends on Monday April 1, 1985. He establishes a new benefit year claim, effective April 2, 1985.  If this individual files a continued claim for the week ending April 6, 1985, that week will be deemed to be in the benefit year beginning April 2, 1985. </w:t>
      </w:r>
    </w:p>
    <w:p w:rsidR="00B378C0" w:rsidRDefault="00B378C0" w:rsidP="00B378C0">
      <w:pPr>
        <w:widowControl w:val="0"/>
        <w:autoSpaceDE w:val="0"/>
        <w:autoSpaceDN w:val="0"/>
        <w:adjustRightInd w:val="0"/>
        <w:ind w:left="1440" w:hanging="720"/>
      </w:pPr>
    </w:p>
    <w:p w:rsidR="00B378C0" w:rsidRDefault="00B378C0" w:rsidP="00B378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14338, effective August 20, 1987) </w:t>
      </w:r>
    </w:p>
    <w:sectPr w:rsidR="00B378C0" w:rsidSect="00B378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8C0"/>
    <w:rsid w:val="0015494F"/>
    <w:rsid w:val="005114F9"/>
    <w:rsid w:val="005C3366"/>
    <w:rsid w:val="00960499"/>
    <w:rsid w:val="00B3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