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C6" w:rsidRDefault="004C21C6" w:rsidP="004C21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1C6" w:rsidRDefault="004C21C6" w:rsidP="004C21C6">
      <w:pPr>
        <w:widowControl w:val="0"/>
        <w:autoSpaceDE w:val="0"/>
        <w:autoSpaceDN w:val="0"/>
        <w:adjustRightInd w:val="0"/>
        <w:jc w:val="center"/>
      </w:pPr>
      <w:r>
        <w:t>SUBPART C:  SECONDARY AND POST-SECONDARY EDUCATION INSTITUTION APPLICANTS</w:t>
      </w:r>
    </w:p>
    <w:sectPr w:rsidR="004C21C6" w:rsidSect="004C2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1C6"/>
    <w:rsid w:val="00257D0E"/>
    <w:rsid w:val="0030418C"/>
    <w:rsid w:val="004C21C6"/>
    <w:rsid w:val="005C3366"/>
    <w:rsid w:val="0073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SECONDARY AND POST-SECONDARY EDUCATION INSTITUTION APPLICANTS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SECONDARY AND POST-SECONDARY EDUCATION INSTITUTION APPLICANTS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