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48" w:rsidRDefault="00407B48" w:rsidP="00407B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B48" w:rsidRDefault="00407B48" w:rsidP="00407B48">
      <w:pPr>
        <w:widowControl w:val="0"/>
        <w:autoSpaceDE w:val="0"/>
        <w:autoSpaceDN w:val="0"/>
        <w:adjustRightInd w:val="0"/>
      </w:pPr>
      <w:r>
        <w:t>SOURCE:  Adopted at 4 Ill. Reg. 19, p. 189, effective April 29, 1980; codified at 6 Ill. Reg. 15178; recodified from 47 Ill. Adm. Code 150 at 8 Ill. Reg. 7799; transferred from 56 Ill. Adm. Code 2640 (transferred by P.A. 87-878) at 16 Ill. Reg. 17177; amended at 25 Ill. Reg. 916, effective January 5, 2001; amended at 25 Ill. Reg. 1</w:t>
      </w:r>
      <w:r w:rsidR="00360706">
        <w:t xml:space="preserve">0202, effective July 30, 2001. </w:t>
      </w:r>
    </w:p>
    <w:sectPr w:rsidR="00407B48" w:rsidSect="00407B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B48"/>
    <w:rsid w:val="00360706"/>
    <w:rsid w:val="00407B48"/>
    <w:rsid w:val="004A65F9"/>
    <w:rsid w:val="005C3366"/>
    <w:rsid w:val="00645213"/>
    <w:rsid w:val="007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