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D4" w:rsidRDefault="004F0ED4" w:rsidP="004F0ED4">
      <w:pPr>
        <w:widowControl w:val="0"/>
        <w:autoSpaceDE w:val="0"/>
        <w:autoSpaceDN w:val="0"/>
        <w:adjustRightInd w:val="0"/>
      </w:pPr>
      <w:bookmarkStart w:id="0" w:name="_GoBack"/>
      <w:bookmarkEnd w:id="0"/>
    </w:p>
    <w:p w:rsidR="004F0ED4" w:rsidRDefault="004F0ED4" w:rsidP="004F0ED4">
      <w:pPr>
        <w:widowControl w:val="0"/>
        <w:autoSpaceDE w:val="0"/>
        <w:autoSpaceDN w:val="0"/>
        <w:adjustRightInd w:val="0"/>
      </w:pPr>
      <w:r>
        <w:rPr>
          <w:b/>
          <w:bCs/>
        </w:rPr>
        <w:t>Section 353.200  Obligations and Prohibited Conduct</w:t>
      </w:r>
      <w:r>
        <w:t xml:space="preserve"> </w:t>
      </w:r>
    </w:p>
    <w:p w:rsidR="004F0ED4" w:rsidRDefault="004F0ED4" w:rsidP="004F0ED4">
      <w:pPr>
        <w:widowControl w:val="0"/>
        <w:autoSpaceDE w:val="0"/>
        <w:autoSpaceDN w:val="0"/>
        <w:adjustRightInd w:val="0"/>
      </w:pPr>
    </w:p>
    <w:p w:rsidR="004F0ED4" w:rsidRDefault="004F0ED4" w:rsidP="004F0ED4">
      <w:pPr>
        <w:widowControl w:val="0"/>
        <w:autoSpaceDE w:val="0"/>
        <w:autoSpaceDN w:val="0"/>
        <w:adjustRightInd w:val="0"/>
      </w:pPr>
      <w:r>
        <w:rPr>
          <w:i/>
          <w:iCs/>
        </w:rPr>
        <w:t>No person shall discharge, discipline, or in any other way discriminate against, or cause to be discharged, disciplined, or discriminated against, any employee or any authorized representative of employees by reason of the fact that the employee or representative has filed, instituted, or caused to be filed or instituted any proceeding under this Act, or has testified or is about to testify in any proceeding resulting from the administration or enforcement of this Act, or offers any evidence of any violation of this Act.</w:t>
      </w:r>
      <w:r>
        <w:t xml:space="preserve"> (Section 11b(a) of the Act) </w:t>
      </w:r>
    </w:p>
    <w:sectPr w:rsidR="004F0ED4" w:rsidSect="004F0E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0ED4"/>
    <w:rsid w:val="002702E3"/>
    <w:rsid w:val="004F0ED4"/>
    <w:rsid w:val="005C3366"/>
    <w:rsid w:val="00C838DE"/>
    <w:rsid w:val="00EA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353</vt:lpstr>
    </vt:vector>
  </TitlesOfParts>
  <Company>state of illinois</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353</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