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2F4" w:rsidRDefault="00E422F4" w:rsidP="00E422F4"/>
    <w:p w:rsidR="00E422F4" w:rsidRDefault="00E422F4" w:rsidP="00E422F4">
      <w:pPr>
        <w:rPr>
          <w:b/>
        </w:rPr>
      </w:pPr>
      <w:r w:rsidRPr="00E422F4">
        <w:rPr>
          <w:b/>
        </w:rPr>
        <w:t xml:space="preserve">Section 350.260  Recording </w:t>
      </w:r>
      <w:r w:rsidR="00517EF4">
        <w:rPr>
          <w:b/>
        </w:rPr>
        <w:t>C</w:t>
      </w:r>
      <w:r w:rsidRPr="00E422F4">
        <w:rPr>
          <w:b/>
        </w:rPr>
        <w:t xml:space="preserve">riteria </w:t>
      </w:r>
    </w:p>
    <w:p w:rsidR="00E422F4" w:rsidRDefault="00E422F4" w:rsidP="00E422F4">
      <w:pPr>
        <w:rPr>
          <w:b/>
        </w:rPr>
      </w:pPr>
    </w:p>
    <w:p w:rsidR="00517EF4" w:rsidRDefault="00E422F4" w:rsidP="00E422F4">
      <w:pPr>
        <w:ind w:left="1440" w:hanging="720"/>
      </w:pPr>
      <w:bookmarkStart w:id="0" w:name="wp1008709"/>
      <w:bookmarkStart w:id="1" w:name="wp998458"/>
      <w:bookmarkStart w:id="2" w:name="wp1008708"/>
      <w:bookmarkEnd w:id="0"/>
      <w:bookmarkEnd w:id="1"/>
      <w:bookmarkEnd w:id="2"/>
      <w:r>
        <w:t>a)</w:t>
      </w:r>
      <w:r>
        <w:tab/>
      </w:r>
      <w:r w:rsidRPr="00E422F4">
        <w:t xml:space="preserve">Basic </w:t>
      </w:r>
      <w:r w:rsidR="00517EF4">
        <w:t>R</w:t>
      </w:r>
      <w:r w:rsidRPr="00E422F4">
        <w:t xml:space="preserve">equirement </w:t>
      </w:r>
    </w:p>
    <w:p w:rsidR="00E422F4" w:rsidRDefault="00E422F4" w:rsidP="00517EF4">
      <w:pPr>
        <w:ind w:left="1440"/>
      </w:pPr>
      <w:r w:rsidRPr="00E422F4">
        <w:t xml:space="preserve">Every public employer </w:t>
      </w:r>
      <w:r w:rsidR="00517EF4">
        <w:t xml:space="preserve">that </w:t>
      </w:r>
      <w:r w:rsidRPr="00E422F4">
        <w:t xml:space="preserve">is required by this </w:t>
      </w:r>
      <w:r w:rsidR="00517EF4">
        <w:t>P</w:t>
      </w:r>
      <w:r w:rsidRPr="00E422F4">
        <w:t>art to keep records of fatalities, injuries and illnesses must record each fatality, injury and illness that:</w:t>
      </w:r>
    </w:p>
    <w:p w:rsidR="00E422F4" w:rsidRDefault="00E422F4" w:rsidP="00AB263F"/>
    <w:p w:rsidR="00E422F4" w:rsidRDefault="00E422F4" w:rsidP="00E422F4">
      <w:pPr>
        <w:ind w:left="720" w:firstLine="720"/>
      </w:pPr>
      <w:bookmarkStart w:id="3" w:name="wp1008719"/>
      <w:bookmarkStart w:id="4" w:name="wp998459"/>
      <w:bookmarkEnd w:id="3"/>
      <w:bookmarkEnd w:id="4"/>
      <w:r>
        <w:t>1)</w:t>
      </w:r>
      <w:r>
        <w:tab/>
      </w:r>
      <w:r w:rsidR="00517EF4">
        <w:t>i</w:t>
      </w:r>
      <w:r w:rsidRPr="00E422F4">
        <w:t xml:space="preserve">s work-related; </w:t>
      </w:r>
    </w:p>
    <w:p w:rsidR="00517EF4" w:rsidRDefault="00517EF4" w:rsidP="00AB263F"/>
    <w:p w:rsidR="00E422F4" w:rsidRDefault="00E422F4" w:rsidP="00E422F4">
      <w:pPr>
        <w:ind w:left="720" w:firstLine="720"/>
      </w:pPr>
      <w:bookmarkStart w:id="5" w:name="wp1008726"/>
      <w:bookmarkStart w:id="6" w:name="wp998460"/>
      <w:bookmarkEnd w:id="5"/>
      <w:bookmarkEnd w:id="6"/>
      <w:r>
        <w:t>2)</w:t>
      </w:r>
      <w:r>
        <w:tab/>
      </w:r>
      <w:r w:rsidR="00517EF4">
        <w:t>i</w:t>
      </w:r>
      <w:r w:rsidRPr="00E422F4">
        <w:t>s a new case; and</w:t>
      </w:r>
    </w:p>
    <w:p w:rsidR="00E422F4" w:rsidRDefault="00E422F4" w:rsidP="00AB263F"/>
    <w:p w:rsidR="00E422F4" w:rsidRDefault="00E422F4" w:rsidP="00E422F4">
      <w:pPr>
        <w:ind w:left="2160" w:hanging="720"/>
      </w:pPr>
      <w:bookmarkStart w:id="7" w:name="wp1008734"/>
      <w:bookmarkStart w:id="8" w:name="wp998461"/>
      <w:bookmarkStart w:id="9" w:name="wp1008733"/>
      <w:bookmarkEnd w:id="7"/>
      <w:bookmarkEnd w:id="8"/>
      <w:bookmarkEnd w:id="9"/>
      <w:r>
        <w:t>3)</w:t>
      </w:r>
      <w:r>
        <w:tab/>
      </w:r>
      <w:r w:rsidR="00517EF4">
        <w:t>m</w:t>
      </w:r>
      <w:r w:rsidRPr="00E422F4">
        <w:t xml:space="preserve">eets one or more of the general recording criteria of </w:t>
      </w:r>
      <w:r w:rsidR="00517EF4">
        <w:t xml:space="preserve">Section </w:t>
      </w:r>
      <w:r w:rsidRPr="00E422F4">
        <w:t xml:space="preserve">350.290 or </w:t>
      </w:r>
      <w:r w:rsidR="00517EF4">
        <w:t>the recording criteria applying to</w:t>
      </w:r>
      <w:r w:rsidRPr="00E422F4">
        <w:t xml:space="preserve"> specific cases </w:t>
      </w:r>
      <w:r w:rsidR="00517EF4">
        <w:t>in Sections</w:t>
      </w:r>
      <w:r w:rsidRPr="00E422F4">
        <w:t xml:space="preserve"> 350.300 through 350.330.</w:t>
      </w:r>
    </w:p>
    <w:p w:rsidR="00E422F4" w:rsidRDefault="00E422F4" w:rsidP="00AB263F"/>
    <w:p w:rsidR="00E422F4" w:rsidRDefault="00E422F4" w:rsidP="00E422F4">
      <w:pPr>
        <w:ind w:firstLine="720"/>
      </w:pPr>
      <w:bookmarkStart w:id="10" w:name="wp1008745"/>
      <w:bookmarkStart w:id="11" w:name="wp998462"/>
      <w:bookmarkEnd w:id="10"/>
      <w:bookmarkEnd w:id="11"/>
      <w:r>
        <w:t>b)</w:t>
      </w:r>
      <w:r>
        <w:tab/>
      </w:r>
      <w:r w:rsidRPr="00E422F4">
        <w:t xml:space="preserve">Implementation </w:t>
      </w:r>
    </w:p>
    <w:p w:rsidR="00E422F4" w:rsidRDefault="00E422F4" w:rsidP="00AB263F"/>
    <w:p w:rsidR="00F13F4E" w:rsidRDefault="00E422F4" w:rsidP="00E422F4">
      <w:pPr>
        <w:ind w:left="2160" w:hanging="720"/>
      </w:pPr>
      <w:bookmarkStart w:id="12" w:name="wp1008753"/>
      <w:bookmarkStart w:id="13" w:name="wp1008744"/>
      <w:bookmarkEnd w:id="12"/>
      <w:bookmarkEnd w:id="13"/>
      <w:r>
        <w:t>1)</w:t>
      </w:r>
      <w:r>
        <w:tab/>
      </w:r>
      <w:r w:rsidR="00517EF4">
        <w:t>C</w:t>
      </w:r>
      <w:r w:rsidRPr="00E422F4">
        <w:t xml:space="preserve">riteria for </w:t>
      </w:r>
      <w:r w:rsidR="00517EF4">
        <w:t>R</w:t>
      </w:r>
      <w:r w:rsidRPr="00E422F4">
        <w:t xml:space="preserve">ecording </w:t>
      </w:r>
      <w:r w:rsidR="00517EF4">
        <w:t>W</w:t>
      </w:r>
      <w:r w:rsidRPr="00E422F4">
        <w:t>ork-</w:t>
      </w:r>
      <w:r w:rsidR="00F13F4E">
        <w:t>R</w:t>
      </w:r>
      <w:r w:rsidRPr="00E422F4">
        <w:t xml:space="preserve">elated </w:t>
      </w:r>
      <w:r w:rsidR="00517EF4">
        <w:t>I</w:t>
      </w:r>
      <w:r w:rsidRPr="00E422F4">
        <w:t xml:space="preserve">njuries and </w:t>
      </w:r>
      <w:r w:rsidR="00517EF4">
        <w:t>I</w:t>
      </w:r>
      <w:r w:rsidRPr="00E422F4">
        <w:t>llnesses</w:t>
      </w:r>
      <w:r w:rsidR="00517EF4">
        <w:t xml:space="preserve"> </w:t>
      </w:r>
    </w:p>
    <w:p w:rsidR="00E422F4" w:rsidRDefault="00517EF4" w:rsidP="00F13F4E">
      <w:pPr>
        <w:ind w:left="2160"/>
      </w:pPr>
      <w:r>
        <w:t>The criteria for recording work-related injuries and illnesses are found in various Section</w:t>
      </w:r>
      <w:r w:rsidR="00F13F4E">
        <w:t>s</w:t>
      </w:r>
      <w:r>
        <w:t xml:space="preserve"> of this Part as follows</w:t>
      </w:r>
      <w:r w:rsidR="00F13F4E">
        <w:t>:</w:t>
      </w:r>
      <w:r w:rsidR="00E422F4" w:rsidRPr="00E422F4">
        <w:t xml:space="preserve"> </w:t>
      </w:r>
      <w:bookmarkStart w:id="14" w:name="wp1021347"/>
      <w:bookmarkEnd w:id="14"/>
    </w:p>
    <w:p w:rsidR="00E422F4" w:rsidRDefault="00E422F4" w:rsidP="00AB263F"/>
    <w:p w:rsidR="00E422F4" w:rsidRDefault="00517EF4" w:rsidP="00E422F4">
      <w:pPr>
        <w:ind w:left="1440" w:firstLine="720"/>
      </w:pPr>
      <w:bookmarkStart w:id="15" w:name="wp1053827"/>
      <w:bookmarkStart w:id="16" w:name="wp1053790"/>
      <w:bookmarkStart w:id="17" w:name="wp1053791"/>
      <w:bookmarkEnd w:id="15"/>
      <w:bookmarkEnd w:id="16"/>
      <w:bookmarkEnd w:id="17"/>
      <w:r>
        <w:t>A</w:t>
      </w:r>
      <w:r w:rsidR="00E422F4">
        <w:t>)</w:t>
      </w:r>
      <w:r w:rsidR="00E422F4">
        <w:tab/>
      </w:r>
      <w:r w:rsidR="00E422F4" w:rsidRPr="00E422F4">
        <w:t>Determination of work-relatedness</w:t>
      </w:r>
      <w:r>
        <w:t>:</w:t>
      </w:r>
      <w:r w:rsidR="00E422F4" w:rsidRPr="00E422F4">
        <w:t xml:space="preserve"> Se</w:t>
      </w:r>
      <w:r>
        <w:t xml:space="preserve">ction </w:t>
      </w:r>
      <w:r w:rsidR="00E422F4" w:rsidRPr="00E422F4">
        <w:t>350.270.</w:t>
      </w:r>
    </w:p>
    <w:p w:rsidR="00E422F4" w:rsidRDefault="00E422F4" w:rsidP="00AB263F"/>
    <w:p w:rsidR="00E422F4" w:rsidRDefault="00517EF4" w:rsidP="00E422F4">
      <w:pPr>
        <w:ind w:left="1440" w:firstLine="720"/>
      </w:pPr>
      <w:bookmarkStart w:id="18" w:name="wp1053839"/>
      <w:bookmarkStart w:id="19" w:name="wp1053836"/>
      <w:bookmarkStart w:id="20" w:name="wp1053795"/>
      <w:bookmarkEnd w:id="18"/>
      <w:bookmarkEnd w:id="19"/>
      <w:bookmarkEnd w:id="20"/>
      <w:r>
        <w:t>B</w:t>
      </w:r>
      <w:r w:rsidR="00E422F4">
        <w:t>)</w:t>
      </w:r>
      <w:r w:rsidR="00E422F4">
        <w:tab/>
      </w:r>
      <w:r w:rsidR="00E422F4" w:rsidRPr="00E422F4">
        <w:t>Determination of a new case</w:t>
      </w:r>
      <w:r>
        <w:t>:</w:t>
      </w:r>
      <w:r w:rsidR="00E422F4" w:rsidRPr="00E422F4">
        <w:t xml:space="preserve"> Se</w:t>
      </w:r>
      <w:r>
        <w:t>ction</w:t>
      </w:r>
      <w:r w:rsidR="00E422F4" w:rsidRPr="00E422F4">
        <w:t xml:space="preserve"> 350.280.</w:t>
      </w:r>
    </w:p>
    <w:p w:rsidR="00E422F4" w:rsidRDefault="00E422F4" w:rsidP="00AB263F"/>
    <w:p w:rsidR="00E422F4" w:rsidRDefault="00517EF4" w:rsidP="00E422F4">
      <w:pPr>
        <w:ind w:left="1440" w:firstLine="720"/>
      </w:pPr>
      <w:bookmarkStart w:id="21" w:name="wp1053844"/>
      <w:bookmarkStart w:id="22" w:name="wp1053798"/>
      <w:bookmarkStart w:id="23" w:name="wp1053799"/>
      <w:bookmarkEnd w:id="21"/>
      <w:bookmarkEnd w:id="22"/>
      <w:bookmarkEnd w:id="23"/>
      <w:r>
        <w:t>C</w:t>
      </w:r>
      <w:r w:rsidR="00E422F4">
        <w:t>)</w:t>
      </w:r>
      <w:r w:rsidR="00E422F4">
        <w:tab/>
      </w:r>
      <w:r w:rsidR="00E422F4" w:rsidRPr="00E422F4">
        <w:t>General recording criteria</w:t>
      </w:r>
      <w:r>
        <w:t>:</w:t>
      </w:r>
      <w:r w:rsidR="00E422F4" w:rsidRPr="00E422F4">
        <w:t xml:space="preserve"> </w:t>
      </w:r>
      <w:r>
        <w:t>Section</w:t>
      </w:r>
      <w:r w:rsidR="00E422F4" w:rsidRPr="00E422F4">
        <w:t xml:space="preserve"> 350.290.</w:t>
      </w:r>
    </w:p>
    <w:p w:rsidR="00E422F4" w:rsidRDefault="00E422F4" w:rsidP="00AB263F"/>
    <w:p w:rsidR="00E422F4" w:rsidRDefault="00F13F4E" w:rsidP="00E422F4">
      <w:pPr>
        <w:ind w:left="2880" w:hanging="720"/>
      </w:pPr>
      <w:bookmarkStart w:id="24" w:name="wp1055734"/>
      <w:bookmarkStart w:id="25" w:name="wp1053802"/>
      <w:bookmarkStart w:id="26" w:name="wp1055733"/>
      <w:bookmarkEnd w:id="24"/>
      <w:bookmarkEnd w:id="25"/>
      <w:bookmarkEnd w:id="26"/>
      <w:r>
        <w:t>D</w:t>
      </w:r>
      <w:r w:rsidR="00E422F4">
        <w:t>)</w:t>
      </w:r>
      <w:r w:rsidR="00E422F4">
        <w:tab/>
      </w:r>
      <w:r w:rsidR="00E422F4" w:rsidRPr="00E422F4">
        <w:t>Additional criteria</w:t>
      </w:r>
      <w:r w:rsidR="00517EF4">
        <w:t xml:space="preserve"> (n</w:t>
      </w:r>
      <w:r w:rsidR="00E422F4" w:rsidRPr="00E422F4">
        <w:t>eedlestick and sharps injury cases, tuberculosis cases, hearing loss cases, medical removal cases, and musculoskeletal disorder cases)</w:t>
      </w:r>
      <w:r w:rsidR="00517EF4">
        <w:t>:</w:t>
      </w:r>
      <w:r w:rsidR="00E422F4" w:rsidRPr="00E422F4">
        <w:t xml:space="preserve"> </w:t>
      </w:r>
      <w:r w:rsidR="00517EF4">
        <w:t>Sections</w:t>
      </w:r>
      <w:r w:rsidR="00E422F4" w:rsidRPr="00E422F4">
        <w:t xml:space="preserve"> 350.300 through 350.330.</w:t>
      </w:r>
    </w:p>
    <w:p w:rsidR="00E422F4" w:rsidRDefault="00E422F4" w:rsidP="00AB263F">
      <w:bookmarkStart w:id="27" w:name="_GoBack"/>
      <w:bookmarkEnd w:id="27"/>
    </w:p>
    <w:p w:rsidR="00E422F4" w:rsidRDefault="00E422F4" w:rsidP="00493E95">
      <w:pPr>
        <w:ind w:left="2160" w:hanging="720"/>
      </w:pPr>
      <w:bookmarkStart w:id="28" w:name="wp1008811"/>
      <w:bookmarkStart w:id="29" w:name="wp998467"/>
      <w:bookmarkEnd w:id="28"/>
      <w:bookmarkEnd w:id="29"/>
      <w:r>
        <w:t>2)</w:t>
      </w:r>
      <w:r>
        <w:tab/>
      </w:r>
      <w:r w:rsidR="00493E95">
        <w:t>Appendix A includes a decision tree to assist reporters in determining what particular injuries or illnesses are recordable.</w:t>
      </w:r>
    </w:p>
    <w:p w:rsidR="004C79BD" w:rsidRDefault="004C79BD" w:rsidP="004C79BD"/>
    <w:p w:rsidR="004C79BD" w:rsidRDefault="004C79BD" w:rsidP="004C79BD">
      <w:pPr>
        <w:ind w:firstLine="720"/>
      </w:pPr>
      <w:r>
        <w:t>(Source:  Amended at 4</w:t>
      </w:r>
      <w:r w:rsidR="00C62312">
        <w:t>6</w:t>
      </w:r>
      <w:r>
        <w:t xml:space="preserve"> Ill. Reg. </w:t>
      </w:r>
      <w:r w:rsidR="008C7322">
        <w:t>3518</w:t>
      </w:r>
      <w:r>
        <w:t xml:space="preserve">, effective </w:t>
      </w:r>
      <w:r w:rsidR="008C7322">
        <w:t>February 15, 2022</w:t>
      </w:r>
      <w:r>
        <w:t>)</w:t>
      </w:r>
    </w:p>
    <w:sectPr w:rsidR="004C79B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EF4" w:rsidRDefault="00517EF4">
      <w:r>
        <w:separator/>
      </w:r>
    </w:p>
  </w:endnote>
  <w:endnote w:type="continuationSeparator" w:id="0">
    <w:p w:rsidR="00517EF4" w:rsidRDefault="00517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EF4" w:rsidRDefault="00517EF4">
      <w:r>
        <w:separator/>
      </w:r>
    </w:p>
  </w:footnote>
  <w:footnote w:type="continuationSeparator" w:id="0">
    <w:p w:rsidR="00517EF4" w:rsidRDefault="00517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795DEF"/>
    <w:multiLevelType w:val="multilevel"/>
    <w:tmpl w:val="F10013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9F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1C63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3E95"/>
    <w:rsid w:val="0049486A"/>
    <w:rsid w:val="004A2DF2"/>
    <w:rsid w:val="004A631A"/>
    <w:rsid w:val="004B0153"/>
    <w:rsid w:val="004B41BC"/>
    <w:rsid w:val="004B6FF4"/>
    <w:rsid w:val="004C445A"/>
    <w:rsid w:val="004C79BD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17EF4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EAB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7322"/>
    <w:rsid w:val="008D06A1"/>
    <w:rsid w:val="008D7182"/>
    <w:rsid w:val="008E68BC"/>
    <w:rsid w:val="008F2B6A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2EF1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263F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19A3"/>
    <w:rsid w:val="00B324A0"/>
    <w:rsid w:val="00B34F63"/>
    <w:rsid w:val="00B35D67"/>
    <w:rsid w:val="00B420C1"/>
    <w:rsid w:val="00B4287F"/>
    <w:rsid w:val="00B44A11"/>
    <w:rsid w:val="00B509FB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2312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22F4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3F4E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12D68AE-28F2-4178-A108-5771C224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Shipley, Melissa A.</cp:lastModifiedBy>
  <cp:revision>4</cp:revision>
  <dcterms:created xsi:type="dcterms:W3CDTF">2021-12-20T20:14:00Z</dcterms:created>
  <dcterms:modified xsi:type="dcterms:W3CDTF">2022-03-04T17:36:00Z</dcterms:modified>
</cp:coreProperties>
</file>