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B8177D" w:rsidP="00B8177D">
      <w:pPr>
        <w:jc w:val="center"/>
      </w:pPr>
      <w:bookmarkStart w:id="0" w:name="_GoBack"/>
      <w:bookmarkEnd w:id="0"/>
      <w:r>
        <w:t>SUBCHAPTER b:  REGULATION OF WORKING CONDITIONS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A8" w:rsidRDefault="00D25FA8">
      <w:r>
        <w:separator/>
      </w:r>
    </w:p>
  </w:endnote>
  <w:endnote w:type="continuationSeparator" w:id="0">
    <w:p w:rsidR="00D25FA8" w:rsidRDefault="00D2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A8" w:rsidRDefault="00D25FA8">
      <w:r>
        <w:separator/>
      </w:r>
    </w:p>
  </w:footnote>
  <w:footnote w:type="continuationSeparator" w:id="0">
    <w:p w:rsidR="00D25FA8" w:rsidRDefault="00D25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7D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FA8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0CADF-8328-414E-81A0-8AD236B9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2020-07-15T17:42:00Z</dcterms:created>
  <dcterms:modified xsi:type="dcterms:W3CDTF">2020-07-15T17:42:00Z</dcterms:modified>
</cp:coreProperties>
</file>