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AA" w:rsidRDefault="004246AA" w:rsidP="00424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6AA" w:rsidRDefault="004246AA" w:rsidP="004246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200.60  Requests for Determination of Mandate</w:t>
      </w:r>
      <w:r>
        <w:t xml:space="preserve"> </w:t>
      </w:r>
    </w:p>
    <w:p w:rsidR="004246AA" w:rsidRDefault="004246AA" w:rsidP="004246AA">
      <w:pPr>
        <w:widowControl w:val="0"/>
        <w:autoSpaceDE w:val="0"/>
        <w:autoSpaceDN w:val="0"/>
        <w:adjustRightInd w:val="0"/>
      </w:pPr>
    </w:p>
    <w:p w:rsidR="004246AA" w:rsidRDefault="004246AA" w:rsidP="004246AA">
      <w:pPr>
        <w:widowControl w:val="0"/>
        <w:autoSpaceDE w:val="0"/>
        <w:autoSpaceDN w:val="0"/>
        <w:adjustRightInd w:val="0"/>
      </w:pPr>
      <w:r>
        <w:t xml:space="preserve">In cases in which the General Assembly has not appropriated funds from which units of local government may be reimbursed for costs attributable to a new or expanded State mandate, one or more units of local government may submit to the Department a Request for Determination of Mandate.  In response to a Request for Determination of Mandate, the Department shall determine whether the Public Act or executive action which is the subject of the request constitutes a State mandate, and if so, the statewide cost of implementation (see Section 8 of the Act). </w:t>
      </w:r>
    </w:p>
    <w:sectPr w:rsidR="004246AA" w:rsidSect="004246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6AA"/>
    <w:rsid w:val="004246AA"/>
    <w:rsid w:val="005C3366"/>
    <w:rsid w:val="006C7D62"/>
    <w:rsid w:val="00793E2B"/>
    <w:rsid w:val="00D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