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5E" w:rsidRDefault="00AB135E" w:rsidP="00BE3FA8">
      <w:pPr>
        <w:tabs>
          <w:tab w:val="left" w:pos="0"/>
        </w:tabs>
        <w:rPr>
          <w:b/>
        </w:rPr>
      </w:pPr>
    </w:p>
    <w:p w:rsidR="00BE3FA8" w:rsidRPr="00BE3FA8" w:rsidRDefault="00BE3FA8" w:rsidP="00BE3FA8">
      <w:pPr>
        <w:tabs>
          <w:tab w:val="left" w:pos="0"/>
        </w:tabs>
      </w:pPr>
      <w:r w:rsidRPr="00BE3FA8">
        <w:rPr>
          <w:b/>
        </w:rPr>
        <w:t>Section 395.315  Standard of Proof</w:t>
      </w:r>
    </w:p>
    <w:p w:rsidR="00BE3FA8" w:rsidRPr="00BE3FA8" w:rsidRDefault="00BE3FA8" w:rsidP="00BE3FA8">
      <w:pPr>
        <w:tabs>
          <w:tab w:val="left" w:pos="0"/>
        </w:tabs>
      </w:pPr>
    </w:p>
    <w:p w:rsidR="00BE3FA8" w:rsidRPr="00BE3FA8" w:rsidRDefault="00BE3FA8" w:rsidP="00BE3FA8">
      <w:pPr>
        <w:tabs>
          <w:tab w:val="left" w:pos="0"/>
        </w:tabs>
      </w:pPr>
      <w:r w:rsidRPr="00BE3FA8">
        <w:t>The standard of proof for any hearing conducted under this Part shall be the preponderance of the evidence.</w:t>
      </w:r>
      <w:bookmarkStart w:id="0" w:name="_GoBack"/>
      <w:bookmarkEnd w:id="0"/>
    </w:p>
    <w:sectPr w:rsidR="00BE3FA8" w:rsidRPr="00BE3F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A8" w:rsidRDefault="00BE3FA8">
      <w:r>
        <w:separator/>
      </w:r>
    </w:p>
  </w:endnote>
  <w:endnote w:type="continuationSeparator" w:id="0">
    <w:p w:rsidR="00BE3FA8" w:rsidRDefault="00BE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A8" w:rsidRDefault="00BE3FA8">
      <w:r>
        <w:separator/>
      </w:r>
    </w:p>
  </w:footnote>
  <w:footnote w:type="continuationSeparator" w:id="0">
    <w:p w:rsidR="00BE3FA8" w:rsidRDefault="00BE3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A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35E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FA8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2012-09-04T18:45:00Z</dcterms:created>
  <dcterms:modified xsi:type="dcterms:W3CDTF">2012-09-04T19:37:00Z</dcterms:modified>
</cp:coreProperties>
</file>