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2CA" w:rsidRDefault="006012CA" w:rsidP="006012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12CA" w:rsidRDefault="006012CA" w:rsidP="006012CA">
      <w:pPr>
        <w:widowControl w:val="0"/>
        <w:autoSpaceDE w:val="0"/>
        <w:autoSpaceDN w:val="0"/>
        <w:adjustRightInd w:val="0"/>
        <w:jc w:val="center"/>
      </w:pPr>
      <w:r>
        <w:t>SUBPART E:  OWNER OF MULTI-FAMILY PROJECTS</w:t>
      </w:r>
    </w:p>
    <w:sectPr w:rsidR="006012CA" w:rsidSect="006012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12CA"/>
    <w:rsid w:val="005C3366"/>
    <w:rsid w:val="006012CA"/>
    <w:rsid w:val="007939BB"/>
    <w:rsid w:val="00C36BA2"/>
    <w:rsid w:val="00FB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OWNER OF MULTI-FAMILY PROJECTS</vt:lpstr>
    </vt:vector>
  </TitlesOfParts>
  <Company>General Assembly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OWNER OF MULTI-FAMILY PROJECTS</dc:title>
  <dc:subject/>
  <dc:creator>Illinois General Assembly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