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F4" w:rsidRDefault="003235F4" w:rsidP="003235F4">
      <w:pPr>
        <w:widowControl w:val="0"/>
        <w:autoSpaceDE w:val="0"/>
        <w:autoSpaceDN w:val="0"/>
        <w:adjustRightInd w:val="0"/>
      </w:pPr>
      <w:bookmarkStart w:id="0" w:name="_GoBack"/>
      <w:bookmarkEnd w:id="0"/>
    </w:p>
    <w:p w:rsidR="003235F4" w:rsidRDefault="003235F4" w:rsidP="003235F4">
      <w:pPr>
        <w:widowControl w:val="0"/>
        <w:autoSpaceDE w:val="0"/>
        <w:autoSpaceDN w:val="0"/>
        <w:adjustRightInd w:val="0"/>
      </w:pPr>
      <w:r>
        <w:rPr>
          <w:b/>
          <w:bCs/>
        </w:rPr>
        <w:t>Section 365.109  Fees and Charges of the Authority</w:t>
      </w:r>
      <w:r>
        <w:t xml:space="preserve"> </w:t>
      </w:r>
    </w:p>
    <w:p w:rsidR="003235F4" w:rsidRDefault="003235F4" w:rsidP="003235F4">
      <w:pPr>
        <w:widowControl w:val="0"/>
        <w:autoSpaceDE w:val="0"/>
        <w:autoSpaceDN w:val="0"/>
        <w:adjustRightInd w:val="0"/>
      </w:pPr>
    </w:p>
    <w:p w:rsidR="003235F4" w:rsidRDefault="003235F4" w:rsidP="003235F4">
      <w:pPr>
        <w:widowControl w:val="0"/>
        <w:autoSpaceDE w:val="0"/>
        <w:autoSpaceDN w:val="0"/>
        <w:adjustRightInd w:val="0"/>
      </w:pPr>
      <w:r>
        <w:t xml:space="preserve">In connection with the Program, the Authority may establish and collect such fees and charges as may be established by the Authority from time to time.  Such fees and charges may be paid from the proceeds of Notes or Bonds issued by the Authority. Such fees and charges may be used by the Authority for its general corporate purposes, including costs of administering the Program.  Such fees and charges may be waived at the Authority's election, may vary from Development to Development, and may vary from time to time.  In making such an election, the Authority may consider the Authority's costs in underwriting the proposed Development, costs of administering the Program, the financial condition of the Development, and other factors the Authority deems relevant. </w:t>
      </w:r>
    </w:p>
    <w:sectPr w:rsidR="003235F4" w:rsidSect="003235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5F4"/>
    <w:rsid w:val="003235F4"/>
    <w:rsid w:val="005C3366"/>
    <w:rsid w:val="00867EEA"/>
    <w:rsid w:val="00894B8B"/>
    <w:rsid w:val="00F6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