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A0" w:rsidRDefault="00AD54A0" w:rsidP="00AD5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4A0" w:rsidRDefault="00AD54A0" w:rsidP="00AD54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350.202  Allocation Pursuant to Qualified Allocation Plan</w:t>
      </w:r>
      <w:r>
        <w:t xml:space="preserve"> </w:t>
      </w:r>
    </w:p>
    <w:p w:rsidR="00AD54A0" w:rsidRDefault="00AD54A0" w:rsidP="00AD54A0">
      <w:pPr>
        <w:widowControl w:val="0"/>
        <w:autoSpaceDE w:val="0"/>
        <w:autoSpaceDN w:val="0"/>
        <w:adjustRightInd w:val="0"/>
      </w:pPr>
    </w:p>
    <w:p w:rsidR="00AD54A0" w:rsidRDefault="00AD54A0" w:rsidP="00AD54A0">
      <w:pPr>
        <w:widowControl w:val="0"/>
        <w:autoSpaceDE w:val="0"/>
        <w:autoSpaceDN w:val="0"/>
        <w:adjustRightInd w:val="0"/>
      </w:pPr>
      <w:r>
        <w:t xml:space="preserve">The Authority shall allocate  Tax Credits only pursuant to and in compliance with the Qualified Allocation Plan. </w:t>
      </w:r>
    </w:p>
    <w:p w:rsidR="00AD54A0" w:rsidRDefault="00AD54A0" w:rsidP="00AD54A0">
      <w:pPr>
        <w:widowControl w:val="0"/>
        <w:autoSpaceDE w:val="0"/>
        <w:autoSpaceDN w:val="0"/>
        <w:adjustRightInd w:val="0"/>
      </w:pPr>
    </w:p>
    <w:p w:rsidR="00AD54A0" w:rsidRDefault="00AD54A0" w:rsidP="00AD54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9012, effective June 26, 1997) </w:t>
      </w:r>
    </w:p>
    <w:sectPr w:rsidR="00AD54A0" w:rsidSect="00AD5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4A0"/>
    <w:rsid w:val="000559C3"/>
    <w:rsid w:val="00372D60"/>
    <w:rsid w:val="005C3366"/>
    <w:rsid w:val="00AD54A0"/>
    <w:rsid w:val="00C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General Assembly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