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C4" w:rsidRDefault="00D144C4" w:rsidP="00D144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4C4" w:rsidRDefault="00D144C4" w:rsidP="00D144C4">
      <w:pPr>
        <w:widowControl w:val="0"/>
        <w:autoSpaceDE w:val="0"/>
        <w:autoSpaceDN w:val="0"/>
        <w:adjustRightInd w:val="0"/>
        <w:jc w:val="center"/>
      </w:pPr>
      <w:r>
        <w:t>SUBPART B:  LOW-INCOME HOUSING TAX CREDIT ALLOCATIONS</w:t>
      </w:r>
    </w:p>
    <w:sectPr w:rsidR="00D144C4" w:rsidSect="00D144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4C4"/>
    <w:rsid w:val="00095A48"/>
    <w:rsid w:val="00577D0B"/>
    <w:rsid w:val="005C3366"/>
    <w:rsid w:val="0067173B"/>
    <w:rsid w:val="00D1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LOW-INCOME HOUSING TAX CREDIT ALLOCATIONS</vt:lpstr>
    </vt:vector>
  </TitlesOfParts>
  <Company>General Assembly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LOW-INCOME HOUSING TAX CREDIT ALLOCATIONS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