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EA9" w:rsidRDefault="00B45EA9" w:rsidP="00B45E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5EA9" w:rsidRDefault="00B45EA9" w:rsidP="00B45E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310.801  Statutory Authorization</w:t>
      </w:r>
      <w:r>
        <w:t xml:space="preserve"> </w:t>
      </w:r>
    </w:p>
    <w:p w:rsidR="00B45EA9" w:rsidRDefault="00B45EA9" w:rsidP="00B45EA9">
      <w:pPr>
        <w:widowControl w:val="0"/>
        <w:autoSpaceDE w:val="0"/>
        <w:autoSpaceDN w:val="0"/>
        <w:adjustRightInd w:val="0"/>
      </w:pPr>
    </w:p>
    <w:p w:rsidR="00B45EA9" w:rsidRDefault="00B45EA9" w:rsidP="00B45EA9">
      <w:pPr>
        <w:widowControl w:val="0"/>
        <w:autoSpaceDE w:val="0"/>
        <w:autoSpaceDN w:val="0"/>
        <w:adjustRightInd w:val="0"/>
      </w:pPr>
      <w:r>
        <w:t xml:space="preserve">Pursuant to </w:t>
      </w:r>
      <w:r w:rsidR="000968E1">
        <w:t>Section 8</w:t>
      </w:r>
      <w:r>
        <w:t xml:space="preserve"> of the Act, the Authority is required to establish the Owner's Equity on each Mortgage Loan provided to a Limited-Profit Entity at the time of final Mortgage disbursement.  The Act provides that the maximum rate of return on Owner's Equity shall be 6% unless the Authority, pursuant to </w:t>
      </w:r>
      <w:r w:rsidR="00BF4840">
        <w:t xml:space="preserve"> this Part</w:t>
      </w:r>
      <w:r>
        <w:t xml:space="preserve">, establishes criteria by which a higher rate is established.  It is the purpose of this Subpart to set the criteria by which a rate of return higher than 6% will be established. </w:t>
      </w:r>
    </w:p>
    <w:p w:rsidR="00B45EA9" w:rsidRDefault="00B45EA9" w:rsidP="00B45EA9">
      <w:pPr>
        <w:widowControl w:val="0"/>
        <w:autoSpaceDE w:val="0"/>
        <w:autoSpaceDN w:val="0"/>
        <w:adjustRightInd w:val="0"/>
      </w:pPr>
    </w:p>
    <w:p w:rsidR="00BF4840" w:rsidRPr="00B61C01" w:rsidRDefault="00BF4840" w:rsidP="00B61C01">
      <w:pPr>
        <w:ind w:firstLine="720"/>
      </w:pPr>
      <w:r w:rsidRPr="00B61C01">
        <w:t xml:space="preserve">(Source:  Amended at 31 Ill. Reg. </w:t>
      </w:r>
      <w:r w:rsidR="00977C85">
        <w:t>4392</w:t>
      </w:r>
      <w:r w:rsidRPr="00B61C01">
        <w:t xml:space="preserve">, effective </w:t>
      </w:r>
      <w:r w:rsidR="00977C85">
        <w:t>February 28, 2007</w:t>
      </w:r>
      <w:r w:rsidRPr="00B61C01">
        <w:t>)</w:t>
      </w:r>
    </w:p>
    <w:sectPr w:rsidR="00BF4840" w:rsidRPr="00B61C01" w:rsidSect="00B45E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5EA9"/>
    <w:rsid w:val="000968E1"/>
    <w:rsid w:val="001000BA"/>
    <w:rsid w:val="0032553F"/>
    <w:rsid w:val="00452938"/>
    <w:rsid w:val="004B0EA7"/>
    <w:rsid w:val="005C3366"/>
    <w:rsid w:val="00921EE4"/>
    <w:rsid w:val="00977C85"/>
    <w:rsid w:val="00B45EA9"/>
    <w:rsid w:val="00B61C01"/>
    <w:rsid w:val="00BF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F48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F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General Assembly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