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9C" w:rsidRDefault="005A1E9C" w:rsidP="005A1E9C">
      <w:pPr>
        <w:widowControl w:val="0"/>
        <w:autoSpaceDE w:val="0"/>
        <w:autoSpaceDN w:val="0"/>
        <w:adjustRightInd w:val="0"/>
      </w:pPr>
      <w:bookmarkStart w:id="0" w:name="_GoBack"/>
      <w:bookmarkEnd w:id="0"/>
    </w:p>
    <w:p w:rsidR="005A1E9C" w:rsidRDefault="005A1E9C" w:rsidP="005A1E9C">
      <w:pPr>
        <w:widowControl w:val="0"/>
        <w:autoSpaceDE w:val="0"/>
        <w:autoSpaceDN w:val="0"/>
        <w:adjustRightInd w:val="0"/>
      </w:pPr>
      <w:r>
        <w:rPr>
          <w:b/>
          <w:bCs/>
        </w:rPr>
        <w:t>Section 310.308  Purchase of Authority Bonds and Notes</w:t>
      </w:r>
      <w:r>
        <w:t xml:space="preserve"> </w:t>
      </w:r>
    </w:p>
    <w:p w:rsidR="005A1E9C" w:rsidRDefault="005A1E9C" w:rsidP="005A1E9C">
      <w:pPr>
        <w:widowControl w:val="0"/>
        <w:autoSpaceDE w:val="0"/>
        <w:autoSpaceDN w:val="0"/>
        <w:adjustRightInd w:val="0"/>
      </w:pPr>
    </w:p>
    <w:p w:rsidR="005A1E9C" w:rsidRDefault="005A1E9C" w:rsidP="005A1E9C">
      <w:pPr>
        <w:widowControl w:val="0"/>
        <w:autoSpaceDE w:val="0"/>
        <w:autoSpaceDN w:val="0"/>
        <w:adjustRightInd w:val="0"/>
      </w:pPr>
      <w:r>
        <w:t xml:space="preserve">No Owner, including any "related person," as defined in Section 103(b)(6)(C) of the Internal Revenue Code of 1954 as amended from time to time, shall pursuant to any arrangement, formal or informal, direct or indirect, agree to purchase the Bonds, Notes, or other obligations of the Authority in an amount related to the aggregate principal amount of the Mortgage Loan to be made to the Owner or such related person. </w:t>
      </w:r>
    </w:p>
    <w:sectPr w:rsidR="005A1E9C" w:rsidSect="005A1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E9C"/>
    <w:rsid w:val="005A1E9C"/>
    <w:rsid w:val="005B4064"/>
    <w:rsid w:val="005C3366"/>
    <w:rsid w:val="00A441E3"/>
    <w:rsid w:val="00C5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