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D8" w:rsidRDefault="00CC22D8" w:rsidP="00CC22D8">
      <w:pPr>
        <w:rPr>
          <w:b/>
        </w:rPr>
      </w:pPr>
      <w:bookmarkStart w:id="0" w:name="_GoBack"/>
      <w:bookmarkEnd w:id="0"/>
    </w:p>
    <w:p w:rsidR="00B33F05" w:rsidRPr="00CC22D8" w:rsidRDefault="00B33F05" w:rsidP="00CC22D8">
      <w:pPr>
        <w:rPr>
          <w:b/>
        </w:rPr>
      </w:pPr>
      <w:r w:rsidRPr="00CC22D8">
        <w:rPr>
          <w:b/>
        </w:rPr>
        <w:t>Section 300.502  Servicing of Mortgage Loans</w:t>
      </w:r>
    </w:p>
    <w:p w:rsidR="00B33F05" w:rsidRPr="00CC22D8" w:rsidRDefault="00B33F05" w:rsidP="00CC22D8"/>
    <w:p w:rsidR="00B33F05" w:rsidRPr="00CC22D8" w:rsidRDefault="00B33F05" w:rsidP="00CC22D8">
      <w:r w:rsidRPr="00CC22D8">
        <w:t>The Authority shall cause all Mortgage Loans purchased by the Authority or its designee to be serviced by a Servicer pursuant to the Servicing Agreement.</w:t>
      </w:r>
    </w:p>
    <w:sectPr w:rsidR="00B33F05" w:rsidRPr="00CC2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80" w:rsidRDefault="005D7E80">
      <w:r>
        <w:separator/>
      </w:r>
    </w:p>
  </w:endnote>
  <w:endnote w:type="continuationSeparator" w:id="0">
    <w:p w:rsidR="005D7E80" w:rsidRDefault="005D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80" w:rsidRDefault="005D7E80">
      <w:r>
        <w:separator/>
      </w:r>
    </w:p>
  </w:footnote>
  <w:footnote w:type="continuationSeparator" w:id="0">
    <w:p w:rsidR="005D7E80" w:rsidRDefault="005D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F0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60E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1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E80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F05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2D8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54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E8F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107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B33F05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B33F05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B33F05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B33F05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