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4B" w:rsidRDefault="00AA1A4B" w:rsidP="00AA1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A4B" w:rsidRDefault="00AA1A4B" w:rsidP="00AA1A4B">
      <w:pPr>
        <w:widowControl w:val="0"/>
        <w:autoSpaceDE w:val="0"/>
        <w:autoSpaceDN w:val="0"/>
        <w:adjustRightInd w:val="0"/>
      </w:pPr>
      <w:r>
        <w:t xml:space="preserve">SOURCE:  Adopted at 9 Ill. Reg. 9907, effective June 14, 1985; amended at 10 Ill. Reg. 3585, effective February 3, 1986; amended at 10 Ill. Reg. 10994, effective June 6, 1986; amended at 10 Ill. Reg. 21047, effective December 5, 1986; amended at 11 Ill. Reg. 5920, effective March 19, 1987; amended at 13 Ill. Reg. 20321, effective December 15, 1989. </w:t>
      </w:r>
    </w:p>
    <w:sectPr w:rsidR="00AA1A4B" w:rsidSect="00AA1A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A4B"/>
    <w:rsid w:val="003A6516"/>
    <w:rsid w:val="005C3366"/>
    <w:rsid w:val="00706CD2"/>
    <w:rsid w:val="00AA1A4B"/>
    <w:rsid w:val="00D115B4"/>
    <w:rsid w:val="00D6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