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AB69" w14:textId="77777777" w:rsidR="006871C3" w:rsidRDefault="006871C3" w:rsidP="006871C3"/>
    <w:p w14:paraId="06BCE311" w14:textId="77777777" w:rsidR="00EC285D" w:rsidRPr="006871C3" w:rsidRDefault="00EC285D" w:rsidP="006871C3">
      <w:pPr>
        <w:rPr>
          <w:b/>
        </w:rPr>
      </w:pPr>
      <w:r w:rsidRPr="004B3F50">
        <w:rPr>
          <w:b/>
        </w:rPr>
        <w:t>Section 7000.330  Uniform Grant Application and Budget Template</w:t>
      </w:r>
    </w:p>
    <w:p w14:paraId="175FC9D6" w14:textId="77777777" w:rsidR="00EC285D" w:rsidRPr="006871C3" w:rsidRDefault="00EC285D" w:rsidP="006871C3"/>
    <w:p w14:paraId="50CED53B" w14:textId="23CDCAB9" w:rsidR="00EC285D" w:rsidRPr="006871C3" w:rsidRDefault="006871C3" w:rsidP="006871C3">
      <w:pPr>
        <w:ind w:left="1440" w:hanging="720"/>
      </w:pPr>
      <w:r>
        <w:t>a)</w:t>
      </w:r>
      <w:r>
        <w:tab/>
      </w:r>
      <w:r w:rsidR="00EC285D" w:rsidRPr="006871C3">
        <w:t xml:space="preserve">Unless an exception has been </w:t>
      </w:r>
      <w:r w:rsidR="00364D57">
        <w:t>granted</w:t>
      </w:r>
      <w:r w:rsidR="00EC285D" w:rsidRPr="006871C3">
        <w:t xml:space="preserve"> and documented in the CSFA, </w:t>
      </w:r>
      <w:r w:rsidR="0050481E">
        <w:t>S</w:t>
      </w:r>
      <w:r w:rsidR="00EC285D" w:rsidRPr="006871C3">
        <w:t>tate agencies shall use the uniform grant application template provided by GATU</w:t>
      </w:r>
      <w:r w:rsidR="00441F45">
        <w:t xml:space="preserve"> and available through the GATA Resource Library at </w:t>
      </w:r>
      <w:r w:rsidR="00B12B1D" w:rsidRPr="00456520">
        <w:t>https://gata</w:t>
      </w:r>
      <w:r w:rsidR="00B45667" w:rsidRPr="00456520">
        <w:t>.illinois.gov or the Grant Management System</w:t>
      </w:r>
      <w:r w:rsidR="00D335A7" w:rsidRPr="00456520">
        <w:t>,</w:t>
      </w:r>
      <w:r w:rsidR="00B45667" w:rsidRPr="00456520">
        <w:t xml:space="preserve"> as directed by GATU</w:t>
      </w:r>
      <w:r w:rsidR="00EC285D" w:rsidRPr="006871C3">
        <w:t>.</w:t>
      </w:r>
    </w:p>
    <w:p w14:paraId="29D72502" w14:textId="77777777" w:rsidR="00EC285D" w:rsidRPr="006871C3" w:rsidRDefault="00EC285D" w:rsidP="00096A00"/>
    <w:p w14:paraId="3DB378C5" w14:textId="77777777" w:rsidR="00EC285D" w:rsidRPr="006871C3" w:rsidRDefault="006871C3" w:rsidP="006871C3">
      <w:pPr>
        <w:ind w:left="1440" w:hanging="720"/>
      </w:pPr>
      <w:r>
        <w:t>b)</w:t>
      </w:r>
      <w:r>
        <w:tab/>
      </w:r>
      <w:r w:rsidR="00EC285D" w:rsidRPr="006871C3">
        <w:t>The uniform grant application shall inclu</w:t>
      </w:r>
      <w:r w:rsidR="00A774A4">
        <w:t>de a standard Agency Completed S</w:t>
      </w:r>
      <w:r w:rsidR="00EC285D" w:rsidRPr="006871C3">
        <w:t xml:space="preserve">ection and a standard Grantee Completed Section.  </w:t>
      </w:r>
    </w:p>
    <w:p w14:paraId="292CFC81" w14:textId="77777777" w:rsidR="00EC285D" w:rsidRPr="006871C3" w:rsidRDefault="00EC285D" w:rsidP="00096A00"/>
    <w:p w14:paraId="3DDF99A9" w14:textId="28E6F041" w:rsidR="00EC285D" w:rsidRPr="006871C3" w:rsidRDefault="006871C3" w:rsidP="006871C3">
      <w:pPr>
        <w:ind w:left="1440" w:hanging="720"/>
      </w:pPr>
      <w:r>
        <w:t>c)</w:t>
      </w:r>
      <w:r>
        <w:tab/>
      </w:r>
      <w:r w:rsidR="00EC285D" w:rsidRPr="006871C3">
        <w:t xml:space="preserve">The completed application template serves as the transmittal for the </w:t>
      </w:r>
      <w:r w:rsidR="00D335A7">
        <w:t>agency-required</w:t>
      </w:r>
      <w:r w:rsidR="00EC285D" w:rsidRPr="006871C3">
        <w:t xml:space="preserve"> documentation that must be submitted to apply for grant funding. </w:t>
      </w:r>
      <w:r w:rsidR="00441F45">
        <w:t xml:space="preserve"> Each grant application is available from the NOFO </w:t>
      </w:r>
      <w:r w:rsidR="00BF6791" w:rsidRPr="00C2150C">
        <w:t xml:space="preserve">(see </w:t>
      </w:r>
      <w:r w:rsidR="00441F45" w:rsidRPr="00C2150C">
        <w:t>Section 7000.310</w:t>
      </w:r>
      <w:r w:rsidR="00BF6791" w:rsidRPr="00C2150C">
        <w:t>) provided through the publicly accessible CSFA</w:t>
      </w:r>
      <w:r w:rsidR="00441F45" w:rsidRPr="00C2150C">
        <w:t>.</w:t>
      </w:r>
    </w:p>
    <w:p w14:paraId="4616B618" w14:textId="77777777" w:rsidR="00EC285D" w:rsidRPr="006871C3" w:rsidRDefault="00EC285D" w:rsidP="00096A00"/>
    <w:p w14:paraId="70549E6B" w14:textId="10C459E2" w:rsidR="00EC285D" w:rsidRPr="006871C3" w:rsidRDefault="006871C3" w:rsidP="006871C3">
      <w:pPr>
        <w:ind w:left="1440" w:hanging="720"/>
      </w:pPr>
      <w:r>
        <w:t>d)</w:t>
      </w:r>
      <w:r>
        <w:tab/>
      </w:r>
      <w:r w:rsidR="00EC285D" w:rsidRPr="006871C3">
        <w:t xml:space="preserve">Unless an exception has been </w:t>
      </w:r>
      <w:r w:rsidR="00364D57">
        <w:t>documented</w:t>
      </w:r>
      <w:r w:rsidR="00EC285D" w:rsidRPr="006871C3">
        <w:t xml:space="preserve"> in the CSFA, </w:t>
      </w:r>
      <w:r w:rsidR="00A774A4">
        <w:t>S</w:t>
      </w:r>
      <w:r w:rsidR="00EC285D" w:rsidRPr="006871C3">
        <w:t>tate agencies shall use the uniform budget template provided by GATU</w:t>
      </w:r>
      <w:r w:rsidR="00441F45">
        <w:t xml:space="preserve"> and available through the GATA Resource Library at www.grants.illinois.gov</w:t>
      </w:r>
      <w:r w:rsidR="00EC285D" w:rsidRPr="006871C3">
        <w:t xml:space="preserve">. </w:t>
      </w:r>
    </w:p>
    <w:p w14:paraId="794E57B1" w14:textId="77777777" w:rsidR="00EC285D" w:rsidRPr="006871C3" w:rsidRDefault="00EC285D" w:rsidP="00096A00"/>
    <w:p w14:paraId="4D872600" w14:textId="57B8E71A" w:rsidR="00EC285D" w:rsidRPr="006871C3" w:rsidRDefault="006871C3" w:rsidP="006871C3">
      <w:pPr>
        <w:ind w:left="2160" w:hanging="720"/>
      </w:pPr>
      <w:r>
        <w:t>1)</w:t>
      </w:r>
      <w:r>
        <w:tab/>
      </w:r>
      <w:r w:rsidR="00EC285D" w:rsidRPr="006871C3">
        <w:t>Illinois</w:t>
      </w:r>
      <w:r>
        <w:t>'</w:t>
      </w:r>
      <w:r w:rsidR="00EC285D" w:rsidRPr="006871C3">
        <w:t xml:space="preserve"> uniform budget template was modeled aft</w:t>
      </w:r>
      <w:r w:rsidR="00364D57">
        <w:t>er the federal budget template (</w:t>
      </w:r>
      <w:r w:rsidR="00EC285D" w:rsidRPr="006871C3">
        <w:t>SF-</w:t>
      </w:r>
      <w:r w:rsidR="00B45667">
        <w:t>424A</w:t>
      </w:r>
      <w:r w:rsidR="00364D57">
        <w:t>)</w:t>
      </w:r>
      <w:r w:rsidR="00EC285D" w:rsidRPr="006871C3">
        <w:t>.</w:t>
      </w:r>
    </w:p>
    <w:p w14:paraId="54C99BD9" w14:textId="77777777" w:rsidR="00EC285D" w:rsidRPr="006871C3" w:rsidRDefault="00EC285D" w:rsidP="00096A00"/>
    <w:p w14:paraId="556CC978" w14:textId="2895C050" w:rsidR="00EC285D" w:rsidRPr="006871C3" w:rsidRDefault="006871C3" w:rsidP="006871C3">
      <w:pPr>
        <w:ind w:left="2160" w:hanging="720"/>
      </w:pPr>
      <w:r>
        <w:t>2)</w:t>
      </w:r>
      <w:r>
        <w:tab/>
      </w:r>
      <w:r w:rsidR="00EC285D" w:rsidRPr="006871C3">
        <w:t xml:space="preserve">The budget template includes major line items and may be modified for additional grant-specific budget lines. </w:t>
      </w:r>
      <w:r w:rsidR="00B45667">
        <w:t>State awarding</w:t>
      </w:r>
      <w:r w:rsidR="00EC285D" w:rsidRPr="006871C3">
        <w:t xml:space="preserve"> agencies </w:t>
      </w:r>
      <w:r w:rsidR="00D335A7">
        <w:t>must</w:t>
      </w:r>
      <w:r w:rsidR="00EC285D" w:rsidRPr="006871C3">
        <w:t xml:space="preserve"> format the template with the applicable line items before the template is released as part of the grant application.  </w:t>
      </w:r>
    </w:p>
    <w:p w14:paraId="4979E12D" w14:textId="77777777" w:rsidR="00EC285D" w:rsidRPr="006871C3" w:rsidRDefault="00EC285D" w:rsidP="00096A00"/>
    <w:p w14:paraId="63C05A5B" w14:textId="4DF3FD1C" w:rsidR="00EC285D" w:rsidRPr="006871C3" w:rsidRDefault="006871C3" w:rsidP="006871C3">
      <w:pPr>
        <w:ind w:left="2160" w:hanging="720"/>
      </w:pPr>
      <w:r>
        <w:t>3)</w:t>
      </w:r>
      <w:r>
        <w:tab/>
      </w:r>
      <w:r w:rsidR="00EC285D" w:rsidRPr="006871C3">
        <w:t xml:space="preserve">The uniform budget template was designed as a compliant format with </w:t>
      </w:r>
      <w:r w:rsidR="00A774A4">
        <w:t>S</w:t>
      </w:r>
      <w:r w:rsidR="00EC285D" w:rsidRPr="006871C3">
        <w:t xml:space="preserve">tate agency flexibility.   </w:t>
      </w:r>
    </w:p>
    <w:p w14:paraId="65573B2F" w14:textId="77777777" w:rsidR="00EC285D" w:rsidRPr="006871C3" w:rsidRDefault="00EC285D" w:rsidP="00096A00"/>
    <w:p w14:paraId="5E866A04" w14:textId="10AF0DC8" w:rsidR="00EC285D" w:rsidRPr="006871C3" w:rsidRDefault="006871C3" w:rsidP="006871C3">
      <w:pPr>
        <w:ind w:left="1440" w:hanging="720"/>
      </w:pPr>
      <w:r>
        <w:t>e)</w:t>
      </w:r>
      <w:r>
        <w:tab/>
      </w:r>
      <w:r w:rsidR="00EC285D" w:rsidRPr="006871C3">
        <w:t xml:space="preserve">Unless otherwise required by State </w:t>
      </w:r>
      <w:r w:rsidR="00D335A7">
        <w:t>or</w:t>
      </w:r>
      <w:r w:rsidR="000F38B6">
        <w:t xml:space="preserve"> federal </w:t>
      </w:r>
      <w:r w:rsidR="00EC285D" w:rsidRPr="006871C3">
        <w:t>statute, as part of the application process the State agenc</w:t>
      </w:r>
      <w:r w:rsidR="00A774A4">
        <w:t xml:space="preserve">y shall require the </w:t>
      </w:r>
      <w:r w:rsidR="000F38B6">
        <w:t>award applicant</w:t>
      </w:r>
      <w:r w:rsidR="00EC285D" w:rsidRPr="006871C3">
        <w:t xml:space="preserve"> to submit mandatory disclosures, certifications and represe</w:t>
      </w:r>
      <w:r w:rsidR="00A774A4">
        <w:t>ntations required by State and f</w:t>
      </w:r>
      <w:r w:rsidR="00EC285D" w:rsidRPr="006871C3">
        <w:t xml:space="preserve">ederal statutes or regulations. </w:t>
      </w:r>
    </w:p>
    <w:p w14:paraId="659E0387" w14:textId="77777777" w:rsidR="00EC285D" w:rsidRDefault="00EC285D" w:rsidP="00096A00"/>
    <w:p w14:paraId="79FA3758" w14:textId="77777777" w:rsidR="00BF6791" w:rsidRDefault="00441F45" w:rsidP="00441F45">
      <w:pPr>
        <w:ind w:left="1440" w:hanging="720"/>
      </w:pPr>
      <w:r>
        <w:t>f)</w:t>
      </w:r>
      <w:r>
        <w:tab/>
      </w:r>
      <w:r w:rsidR="00BF6791">
        <w:t>Conflict of Interest</w:t>
      </w:r>
    </w:p>
    <w:p w14:paraId="0F2A1AFD" w14:textId="77777777" w:rsidR="00441F45" w:rsidRPr="00441F45" w:rsidRDefault="00441F45" w:rsidP="00BF6791">
      <w:pPr>
        <w:ind w:left="1440"/>
      </w:pPr>
      <w:r w:rsidRPr="00441F45">
        <w:t>Stat</w:t>
      </w:r>
      <w:r>
        <w:t xml:space="preserve">e agency staff and </w:t>
      </w:r>
      <w:r w:rsidR="006B28D5">
        <w:t xml:space="preserve">the </w:t>
      </w:r>
      <w:r w:rsidR="000F38B6">
        <w:t>award applicant</w:t>
      </w:r>
      <w:r w:rsidRPr="00441F45">
        <w:t xml:space="preserve"> must not have any conflicts of interest or apparent conflicts of interest </w:t>
      </w:r>
      <w:r w:rsidR="00BF6791">
        <w:t xml:space="preserve">that </w:t>
      </w:r>
      <w:r w:rsidRPr="00441F45">
        <w:t>may impair the fairness and impartiality of the grant process.</w:t>
      </w:r>
      <w:r>
        <w:t xml:space="preserve"> </w:t>
      </w:r>
      <w:r w:rsidR="00364D57">
        <w:t xml:space="preserve"> Authoritative s</w:t>
      </w:r>
      <w:r w:rsidRPr="00441F45">
        <w:t xml:space="preserve">ources and guidance regarding conflict of interest and financial disclosure </w:t>
      </w:r>
      <w:r w:rsidR="00364D57">
        <w:t>are</w:t>
      </w:r>
      <w:r w:rsidRPr="00441F45">
        <w:t xml:space="preserve"> provided through the GATA Resource Library at www.grants.illinois.gov.</w:t>
      </w:r>
    </w:p>
    <w:p w14:paraId="5D5A24AA" w14:textId="77777777" w:rsidR="00441F45" w:rsidRPr="006871C3" w:rsidRDefault="00441F45" w:rsidP="00096A00"/>
    <w:p w14:paraId="663D75E8" w14:textId="77777777" w:rsidR="00BF6791" w:rsidRDefault="006871C3" w:rsidP="006871C3">
      <w:pPr>
        <w:ind w:left="2160" w:hanging="720"/>
      </w:pPr>
      <w:r>
        <w:t>1)</w:t>
      </w:r>
      <w:r>
        <w:tab/>
      </w:r>
      <w:r w:rsidR="00BF6791">
        <w:t>Applicant Responsibilities</w:t>
      </w:r>
    </w:p>
    <w:p w14:paraId="5EE1318D" w14:textId="77777777" w:rsidR="00BF6791" w:rsidRDefault="00BF6791" w:rsidP="00096A00"/>
    <w:p w14:paraId="0036DA20" w14:textId="26B07E03" w:rsidR="00EC285D" w:rsidRPr="006871C3" w:rsidRDefault="00BF6791" w:rsidP="00BF6791">
      <w:pPr>
        <w:ind w:left="2880" w:hanging="720"/>
      </w:pPr>
      <w:r>
        <w:lastRenderedPageBreak/>
        <w:t>A)</w:t>
      </w:r>
      <w:r>
        <w:tab/>
      </w:r>
      <w:r w:rsidR="00EC285D" w:rsidRPr="006871C3">
        <w:t>Applicants shall disclose, in a timely manner and in writing</w:t>
      </w:r>
      <w:r w:rsidR="0021265C">
        <w:t>,</w:t>
      </w:r>
      <w:r w:rsidR="00EC285D" w:rsidRPr="006871C3">
        <w:t xml:space="preserve"> to the </w:t>
      </w:r>
      <w:r w:rsidR="001A33A9">
        <w:t xml:space="preserve">State </w:t>
      </w:r>
      <w:r w:rsidR="00B45667">
        <w:t>awarding</w:t>
      </w:r>
      <w:r w:rsidR="00EC285D" w:rsidRPr="006871C3">
        <w:t xml:space="preserve"> agency:</w:t>
      </w:r>
    </w:p>
    <w:p w14:paraId="535AA051" w14:textId="77777777" w:rsidR="00EC285D" w:rsidRPr="006871C3" w:rsidRDefault="00EC285D" w:rsidP="00096A00"/>
    <w:p w14:paraId="56C52116" w14:textId="77777777" w:rsidR="00EC285D" w:rsidRPr="006871C3" w:rsidRDefault="00BF6791" w:rsidP="00BF6791">
      <w:pPr>
        <w:ind w:left="3600" w:hanging="720"/>
      </w:pPr>
      <w:r>
        <w:t>i</w:t>
      </w:r>
      <w:r w:rsidR="006871C3">
        <w:t>)</w:t>
      </w:r>
      <w:r w:rsidR="006871C3">
        <w:tab/>
      </w:r>
      <w:r w:rsidR="00A774A4">
        <w:t>All real or potential</w:t>
      </w:r>
      <w:r w:rsidR="00EC285D" w:rsidRPr="006871C3">
        <w:t xml:space="preserve"> conflicts of interest related to the issuance </w:t>
      </w:r>
      <w:r w:rsidR="00441F45">
        <w:t>or execution of the award;</w:t>
      </w:r>
      <w:r w:rsidR="00364D57">
        <w:t xml:space="preserve"> and</w:t>
      </w:r>
    </w:p>
    <w:p w14:paraId="6393332A" w14:textId="77777777" w:rsidR="00EC285D" w:rsidRPr="006871C3" w:rsidRDefault="00EC285D" w:rsidP="00096A00"/>
    <w:p w14:paraId="211EBADC" w14:textId="77777777" w:rsidR="00EC285D" w:rsidRPr="006871C3" w:rsidRDefault="00BF6791" w:rsidP="00BF6791">
      <w:pPr>
        <w:ind w:left="3600" w:hanging="720"/>
      </w:pPr>
      <w:r>
        <w:t>ii</w:t>
      </w:r>
      <w:r w:rsidR="006871C3">
        <w:t>)</w:t>
      </w:r>
      <w:r w:rsidR="006871C3">
        <w:tab/>
      </w:r>
      <w:r w:rsidR="00A774A4">
        <w:t>All violations of State or f</w:t>
      </w:r>
      <w:r w:rsidR="00EC285D" w:rsidRPr="006871C3">
        <w:t>ederal criminal law involving fraud, bribery or gratuity violations pote</w:t>
      </w:r>
      <w:r w:rsidR="00A774A4">
        <w:t>ntially affecting the award.</w:t>
      </w:r>
    </w:p>
    <w:p w14:paraId="32F35347" w14:textId="77777777" w:rsidR="00EC285D" w:rsidRPr="006871C3" w:rsidRDefault="00EC285D" w:rsidP="00096A00"/>
    <w:p w14:paraId="3BCE9DF7" w14:textId="77777777" w:rsidR="00EC285D" w:rsidRPr="006871C3" w:rsidRDefault="00BF6791" w:rsidP="00BF6791">
      <w:pPr>
        <w:ind w:left="2880" w:hanging="720"/>
      </w:pPr>
      <w:r>
        <w:t>B</w:t>
      </w:r>
      <w:r w:rsidR="006871C3">
        <w:t>)</w:t>
      </w:r>
      <w:r w:rsidR="006871C3">
        <w:tab/>
      </w:r>
      <w:r w:rsidR="00EC285D" w:rsidRPr="006871C3">
        <w:t xml:space="preserve">Applicants must comply with disclosure requirements specified in </w:t>
      </w:r>
      <w:r w:rsidR="00A774A4">
        <w:t xml:space="preserve">Section </w:t>
      </w:r>
      <w:r w:rsidR="00EC285D" w:rsidRPr="006871C3">
        <w:t>60(a)(5)</w:t>
      </w:r>
      <w:r w:rsidR="00A774A4">
        <w:t xml:space="preserve"> of the Act</w:t>
      </w:r>
      <w:r w:rsidR="00EC285D" w:rsidRPr="006871C3">
        <w:t>.</w:t>
      </w:r>
    </w:p>
    <w:p w14:paraId="008ED80A" w14:textId="77777777" w:rsidR="00EC285D" w:rsidRPr="006871C3" w:rsidRDefault="00EC285D" w:rsidP="00096A00"/>
    <w:p w14:paraId="030299CE" w14:textId="5BDEF016" w:rsidR="00EC285D" w:rsidRPr="006871C3" w:rsidRDefault="00BF6791" w:rsidP="00BF6791">
      <w:pPr>
        <w:ind w:left="2880" w:hanging="720"/>
      </w:pPr>
      <w:r>
        <w:t>C</w:t>
      </w:r>
      <w:r w:rsidR="006871C3">
        <w:t>)</w:t>
      </w:r>
      <w:r w:rsidR="006871C3">
        <w:tab/>
      </w:r>
      <w:r w:rsidR="00B45667">
        <w:t>An applicant's</w:t>
      </w:r>
      <w:r w:rsidR="00EC285D" w:rsidRPr="006871C3">
        <w:t xml:space="preserve"> failure to make the required disclosures may result in remedial actions</w:t>
      </w:r>
      <w:r w:rsidR="00A774A4">
        <w:t>,</w:t>
      </w:r>
      <w:r w:rsidR="00EC285D" w:rsidRPr="006871C3">
        <w:t xml:space="preserve"> including:</w:t>
      </w:r>
    </w:p>
    <w:p w14:paraId="15D320B9" w14:textId="77777777" w:rsidR="00EC285D" w:rsidRPr="006871C3" w:rsidRDefault="00EC285D" w:rsidP="00096A00"/>
    <w:p w14:paraId="5F9B109D" w14:textId="12AD6246" w:rsidR="00EC285D" w:rsidRPr="006871C3" w:rsidRDefault="00BF6791" w:rsidP="00BF6791">
      <w:pPr>
        <w:ind w:left="3600" w:hanging="720"/>
      </w:pPr>
      <w:r>
        <w:t>i</w:t>
      </w:r>
      <w:r w:rsidR="006871C3">
        <w:t>)</w:t>
      </w:r>
      <w:r w:rsidR="006871C3">
        <w:tab/>
      </w:r>
      <w:r w:rsidR="00EC285D" w:rsidRPr="006871C3">
        <w:t xml:space="preserve">Temporary withholding of cash payments pending correction of the deficiency or more severe enforcement action by the </w:t>
      </w:r>
      <w:r w:rsidR="001A33A9">
        <w:t xml:space="preserve">State </w:t>
      </w:r>
      <w:r w:rsidR="00B45667">
        <w:t>awarding</w:t>
      </w:r>
      <w:r w:rsidR="00EC285D" w:rsidRPr="006871C3">
        <w:t xml:space="preserve"> agency;</w:t>
      </w:r>
    </w:p>
    <w:p w14:paraId="5AD93974" w14:textId="77777777" w:rsidR="00EC285D" w:rsidRPr="006871C3" w:rsidRDefault="00EC285D" w:rsidP="00096A00"/>
    <w:p w14:paraId="5A7DF433" w14:textId="77777777" w:rsidR="00EC285D" w:rsidRPr="006871C3" w:rsidRDefault="00BF6791" w:rsidP="00BF6791">
      <w:pPr>
        <w:ind w:left="3600" w:hanging="720"/>
      </w:pPr>
      <w:r>
        <w:t>ii</w:t>
      </w:r>
      <w:r w:rsidR="006871C3">
        <w:t>)</w:t>
      </w:r>
      <w:r w:rsidR="006871C3">
        <w:tab/>
      </w:r>
      <w:r w:rsidR="00EC285D" w:rsidRPr="006871C3">
        <w:t>Disallowance of (</w:t>
      </w:r>
      <w:r w:rsidR="00A774A4">
        <w:t>i.e.,</w:t>
      </w:r>
      <w:r w:rsidR="00EC285D" w:rsidRPr="006871C3">
        <w:t xml:space="preserve"> denial of both use of funds and any applicable matching credit for) all or part of the cost of the activity or action not in compliance;</w:t>
      </w:r>
    </w:p>
    <w:p w14:paraId="2D0E394C" w14:textId="77777777" w:rsidR="00EC285D" w:rsidRPr="006871C3" w:rsidRDefault="00EC285D" w:rsidP="00096A00"/>
    <w:p w14:paraId="15B8DA40" w14:textId="77777777" w:rsidR="00EC285D" w:rsidRPr="006871C3" w:rsidRDefault="00BF6791" w:rsidP="00BF6791">
      <w:pPr>
        <w:ind w:left="3600" w:hanging="720"/>
      </w:pPr>
      <w:r>
        <w:t>iii</w:t>
      </w:r>
      <w:r w:rsidR="006871C3">
        <w:t>)</w:t>
      </w:r>
      <w:r w:rsidR="006871C3">
        <w:tab/>
      </w:r>
      <w:r w:rsidR="00EC285D" w:rsidRPr="006871C3">
        <w:t>Whole or partial suspension or termination of the award;</w:t>
      </w:r>
    </w:p>
    <w:p w14:paraId="6F998138" w14:textId="77777777" w:rsidR="00EC285D" w:rsidRPr="006871C3" w:rsidRDefault="00EC285D" w:rsidP="00096A00"/>
    <w:p w14:paraId="6EFF357B" w14:textId="77777777" w:rsidR="00EC285D" w:rsidRPr="006871C3" w:rsidRDefault="00BF6791" w:rsidP="00BF6791">
      <w:pPr>
        <w:ind w:left="3600" w:hanging="720"/>
      </w:pPr>
      <w:r>
        <w:t>iv</w:t>
      </w:r>
      <w:r w:rsidR="006871C3">
        <w:t>)</w:t>
      </w:r>
      <w:r w:rsidR="006871C3">
        <w:tab/>
      </w:r>
      <w:r w:rsidR="00EC285D" w:rsidRPr="006871C3">
        <w:t xml:space="preserve">Initiation of suspension or debarment proceedings </w:t>
      </w:r>
      <w:r>
        <w:t xml:space="preserve">under 2 CFR 180. In the case of a </w:t>
      </w:r>
      <w:r w:rsidR="0021248A" w:rsidRPr="0021248A">
        <w:t>pass-through entity</w:t>
      </w:r>
      <w:r>
        <w:t>, the State agency may recommend that such a proceeding be initiated by the federal awarding agency</w:t>
      </w:r>
      <w:r w:rsidR="00441F45">
        <w:t>;</w:t>
      </w:r>
    </w:p>
    <w:p w14:paraId="4FB39E80" w14:textId="77777777" w:rsidR="00EC285D" w:rsidRPr="006871C3" w:rsidRDefault="00EC285D" w:rsidP="00096A00"/>
    <w:p w14:paraId="38D48737" w14:textId="77777777" w:rsidR="00EC285D" w:rsidRPr="006871C3" w:rsidRDefault="00BF6791" w:rsidP="00BF6791">
      <w:pPr>
        <w:ind w:left="3600" w:hanging="720"/>
      </w:pPr>
      <w:r>
        <w:t>v</w:t>
      </w:r>
      <w:r w:rsidR="006871C3">
        <w:t>)</w:t>
      </w:r>
      <w:r w:rsidR="006871C3">
        <w:tab/>
      </w:r>
      <w:r w:rsidR="00EC285D" w:rsidRPr="006871C3">
        <w:t>Withholding further awards for the project or program; or</w:t>
      </w:r>
    </w:p>
    <w:p w14:paraId="4C542657" w14:textId="77777777" w:rsidR="00EC285D" w:rsidRPr="006871C3" w:rsidRDefault="00EC285D" w:rsidP="00096A00"/>
    <w:p w14:paraId="534FBDE2" w14:textId="77777777" w:rsidR="00EC285D" w:rsidRPr="006871C3" w:rsidRDefault="00BF6791" w:rsidP="00BF6791">
      <w:pPr>
        <w:ind w:left="3600" w:hanging="720"/>
      </w:pPr>
      <w:r>
        <w:t>vi</w:t>
      </w:r>
      <w:r w:rsidR="006871C3">
        <w:t>)</w:t>
      </w:r>
      <w:r w:rsidR="006871C3">
        <w:tab/>
      </w:r>
      <w:r w:rsidR="00EC285D" w:rsidRPr="006871C3">
        <w:t>Taking any other remedial action that may be legally available.</w:t>
      </w:r>
    </w:p>
    <w:p w14:paraId="35345E9E" w14:textId="77777777" w:rsidR="00EC285D" w:rsidRPr="006871C3" w:rsidRDefault="00EC285D" w:rsidP="00096A00"/>
    <w:p w14:paraId="351EB33C" w14:textId="77777777" w:rsidR="00BF6791" w:rsidRDefault="00BF6791" w:rsidP="006871C3">
      <w:pPr>
        <w:ind w:left="2160" w:hanging="720"/>
      </w:pPr>
      <w:r>
        <w:t>2</w:t>
      </w:r>
      <w:r w:rsidR="006871C3">
        <w:t>)</w:t>
      </w:r>
      <w:r w:rsidR="006871C3">
        <w:tab/>
      </w:r>
      <w:r>
        <w:t>State Agencies</w:t>
      </w:r>
    </w:p>
    <w:p w14:paraId="75CEC47C" w14:textId="779DF38E" w:rsidR="000174EB" w:rsidRDefault="00A774A4" w:rsidP="00BF6791">
      <w:pPr>
        <w:ind w:left="2160"/>
      </w:pPr>
      <w:r>
        <w:t>Unless prohibited by f</w:t>
      </w:r>
      <w:r w:rsidR="00EC285D" w:rsidRPr="006871C3">
        <w:t xml:space="preserve">ederal or State statutes or regulations, each State </w:t>
      </w:r>
      <w:r w:rsidR="00B45667">
        <w:t>awarding</w:t>
      </w:r>
      <w:r w:rsidR="00BF6791">
        <w:t xml:space="preserve"> </w:t>
      </w:r>
      <w:r w:rsidR="00EC285D" w:rsidRPr="006871C3">
        <w:t xml:space="preserve">agency is authorized to require the </w:t>
      </w:r>
      <w:r w:rsidR="000F38B6">
        <w:t>awardee</w:t>
      </w:r>
      <w:r w:rsidR="00BF6791">
        <w:t xml:space="preserve"> </w:t>
      </w:r>
      <w:r w:rsidR="00EC285D" w:rsidRPr="006871C3">
        <w:t>to submit certifications a</w:t>
      </w:r>
      <w:r>
        <w:t>nd representations required by f</w:t>
      </w:r>
      <w:r w:rsidR="00EC285D" w:rsidRPr="006871C3">
        <w:t>ederal and State statute or regulations</w:t>
      </w:r>
      <w:r w:rsidR="00D335A7">
        <w:t>, including Section 120 of GATA,</w:t>
      </w:r>
      <w:r w:rsidR="00EC285D" w:rsidRPr="006871C3">
        <w:t xml:space="preserve"> on an annual basis. Submissions may be required more frequently if the </w:t>
      </w:r>
      <w:r w:rsidR="00E243E1">
        <w:t>awardee</w:t>
      </w:r>
      <w:r w:rsidR="00EC285D" w:rsidRPr="006871C3">
        <w:t xml:space="preserve"> fails to meet a requirement of a State</w:t>
      </w:r>
      <w:r w:rsidR="00EC613C">
        <w:t>-issued</w:t>
      </w:r>
      <w:r w:rsidR="00C2150C">
        <w:t xml:space="preserve"> </w:t>
      </w:r>
      <w:r w:rsidR="00EC285D" w:rsidRPr="006871C3">
        <w:t>award.</w:t>
      </w:r>
    </w:p>
    <w:p w14:paraId="57901652" w14:textId="4DB53EC6" w:rsidR="00B45667" w:rsidRDefault="00B45667" w:rsidP="00B45667"/>
    <w:p w14:paraId="3D361CDA" w14:textId="00945D8C" w:rsidR="00B45667" w:rsidRPr="006871C3" w:rsidRDefault="00B45667" w:rsidP="00B45667">
      <w:pPr>
        <w:ind w:left="720"/>
      </w:pPr>
      <w:r>
        <w:t xml:space="preserve">(Source:  Amended at </w:t>
      </w:r>
      <w:r w:rsidR="00964D70">
        <w:t>47</w:t>
      </w:r>
      <w:r>
        <w:t xml:space="preserve"> Ill. Reg. </w:t>
      </w:r>
      <w:r w:rsidR="00620436">
        <w:t>7893</w:t>
      </w:r>
      <w:r>
        <w:t xml:space="preserve">, effective </w:t>
      </w:r>
      <w:r w:rsidR="00620436">
        <w:t>May 26, 2023</w:t>
      </w:r>
      <w:r>
        <w:t>)</w:t>
      </w:r>
    </w:p>
    <w:sectPr w:rsidR="00B45667" w:rsidRPr="006871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DFC3" w14:textId="77777777" w:rsidR="00597723" w:rsidRDefault="00597723">
      <w:r>
        <w:separator/>
      </w:r>
    </w:p>
  </w:endnote>
  <w:endnote w:type="continuationSeparator" w:id="0">
    <w:p w14:paraId="3B244285" w14:textId="77777777" w:rsidR="00597723" w:rsidRDefault="0059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B206" w14:textId="77777777" w:rsidR="00597723" w:rsidRDefault="00597723">
      <w:r>
        <w:separator/>
      </w:r>
    </w:p>
  </w:footnote>
  <w:footnote w:type="continuationSeparator" w:id="0">
    <w:p w14:paraId="667975E3" w14:textId="77777777" w:rsidR="00597723" w:rsidRDefault="0059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89B"/>
    <w:multiLevelType w:val="hybridMultilevel"/>
    <w:tmpl w:val="251C0456"/>
    <w:lvl w:ilvl="0" w:tplc="4C0010E0">
      <w:start w:val="1"/>
      <w:numFmt w:val="upp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4C0010E0">
      <w:start w:val="1"/>
      <w:numFmt w:val="upperLetter"/>
      <w:lvlText w:val="%3)"/>
      <w:lvlJc w:val="left"/>
      <w:pPr>
        <w:ind w:left="50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960640B"/>
    <w:multiLevelType w:val="hybridMultilevel"/>
    <w:tmpl w:val="710E8B5A"/>
    <w:lvl w:ilvl="0" w:tplc="FA80AB7E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1D6638"/>
    <w:multiLevelType w:val="hybridMultilevel"/>
    <w:tmpl w:val="CC3A4334"/>
    <w:lvl w:ilvl="0" w:tplc="C18EF396">
      <w:start w:val="4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AC84D6CA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16C5F"/>
    <w:multiLevelType w:val="hybridMultilevel"/>
    <w:tmpl w:val="791C9BD2"/>
    <w:lvl w:ilvl="0" w:tplc="4C0010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4C0010E0">
      <w:start w:val="1"/>
      <w:numFmt w:val="upperLetter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11AF7"/>
    <w:multiLevelType w:val="hybridMultilevel"/>
    <w:tmpl w:val="5244822A"/>
    <w:lvl w:ilvl="0" w:tplc="4192F138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50C61"/>
    <w:multiLevelType w:val="hybridMultilevel"/>
    <w:tmpl w:val="1400C218"/>
    <w:lvl w:ilvl="0" w:tplc="0C683DC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A00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38B6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33A9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48A"/>
    <w:rsid w:val="0021265C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8B9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D57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1F45"/>
    <w:rsid w:val="004448CB"/>
    <w:rsid w:val="004454F6"/>
    <w:rsid w:val="004536AB"/>
    <w:rsid w:val="00453E6F"/>
    <w:rsid w:val="00455043"/>
    <w:rsid w:val="00456520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F50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81E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723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436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71C3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8D5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4D70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4A4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B1D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667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791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50C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46F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9A6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5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3E1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246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85D"/>
    <w:rsid w:val="00EC3846"/>
    <w:rsid w:val="00EC613C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1AC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55A66"/>
  <w15:chartTrackingRefBased/>
  <w15:docId w15:val="{01545D71-42B2-4E4D-B9F6-721B3418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8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C28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F45"/>
    <w:rPr>
      <w:rFonts w:ascii="Times New Roman" w:hAnsi="Times New Roman" w:cs="Times New Roman"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2023-06-05T19:52:00Z</dcterms:created>
  <dcterms:modified xsi:type="dcterms:W3CDTF">2023-06-09T12:37:00Z</dcterms:modified>
</cp:coreProperties>
</file>