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6E" w:rsidRDefault="0067096E" w:rsidP="0067096E">
      <w:pPr>
        <w:widowControl w:val="0"/>
        <w:autoSpaceDE w:val="0"/>
        <w:autoSpaceDN w:val="0"/>
        <w:adjustRightInd w:val="0"/>
      </w:pPr>
      <w:bookmarkStart w:id="0" w:name="_GoBack"/>
      <w:bookmarkEnd w:id="0"/>
    </w:p>
    <w:p w:rsidR="0067096E" w:rsidRDefault="0067096E" w:rsidP="0067096E">
      <w:pPr>
        <w:widowControl w:val="0"/>
        <w:autoSpaceDE w:val="0"/>
        <w:autoSpaceDN w:val="0"/>
        <w:adjustRightInd w:val="0"/>
      </w:pPr>
      <w:r>
        <w:rPr>
          <w:b/>
          <w:bCs/>
        </w:rPr>
        <w:t>Section 5000.800  Notice of Sale to Local Governments</w:t>
      </w:r>
      <w:r>
        <w:t xml:space="preserve"> </w:t>
      </w:r>
    </w:p>
    <w:p w:rsidR="0067096E" w:rsidRDefault="0067096E" w:rsidP="0067096E">
      <w:pPr>
        <w:widowControl w:val="0"/>
        <w:autoSpaceDE w:val="0"/>
        <w:autoSpaceDN w:val="0"/>
        <w:adjustRightInd w:val="0"/>
      </w:pPr>
    </w:p>
    <w:p w:rsidR="0067096E" w:rsidRDefault="0067096E" w:rsidP="0067096E">
      <w:pPr>
        <w:widowControl w:val="0"/>
        <w:autoSpaceDE w:val="0"/>
        <w:autoSpaceDN w:val="0"/>
        <w:adjustRightInd w:val="0"/>
      </w:pPr>
      <w:r>
        <w:t xml:space="preserve">DCMS will send notice of the availability for sale of surplus property to the governmental bodies in the county in which the property is located including county board and all incorporated cities, towns and villages. Notice may also be sent to any other governing body listed in files maintained by the State Board of Elections.  A notice will also be placed in a newspaper having general circulation in that county. </w:t>
      </w:r>
    </w:p>
    <w:sectPr w:rsidR="0067096E" w:rsidSect="006709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096E"/>
    <w:rsid w:val="00516B6F"/>
    <w:rsid w:val="005C3366"/>
    <w:rsid w:val="0067096E"/>
    <w:rsid w:val="00920D2C"/>
    <w:rsid w:val="00F62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